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94 «Об утверждении формы таможенной декларации и порядка ее заполнения»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12395 от 12 апреля 2024 года) (САЗ 24-16)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пунктом 3 статьи 217, пунктом 3 статьи 223-1 Таможенного кодекса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94 «Об утверждении формы таможенной декларации и порядка ее заполнения»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12395 от 12 апреля 2024 года) (САЗ 24-16) с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235</w:t>
        </w:r>
      </w:hyperlink>
      <w:r>
        <w:rPr>
          <w:rFonts w:ascii="times new roman;times" w:hAnsi="times new roman;times"/>
          <w:sz w:val="24"/>
        </w:rPr>
        <w:t xml:space="preserve"> (регистрационный № 12653 от 6 августа 2024 года) (САЗ 24-33),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2024 года № 327</w:t>
        </w:r>
      </w:hyperlink>
      <w:r>
        <w:rPr>
          <w:rFonts w:ascii="times new roman;times" w:hAnsi="times new roman;times"/>
          <w:sz w:val="24"/>
        </w:rPr>
        <w:t xml:space="preserve"> (регистрационный № 12870 от 22 ноября 2024 года) (САЗ 24-47),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70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«70. В графе указываются сведения об условиях поставки и форме расчетов.»;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главу 24 Приложения № 2 к Приказу дополнить пунктом 73-1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«73-1. Если товары ввезены (ввозятся) на таможенную территорию не в счет исполнения обязательств по возмездному договору (контракту), расчеты по которому за эти товары осуществляются отечественным лицом с использованием денежных или иных платежных средств или в форме встречных поставок товаров, работ, услуг, результатов интеллектуальной деятельности, первый и второй подразделы графы не заполняются.»;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194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«194. В графе указываются сведения об условиях поставки и форме расчетов, если декларируемые товары вывозятся с таможенной территории или завершается действие таможенной процедуры в отношении ранее вывезенных товаров.»;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главу 73 Приложения № 2 к Приказу дополнить пунктом 197-1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«197-1. Если товары вывозятся с таможенной территории или завершается действие таможенной процедуры в отношении ранее вывезенных товаров не в счет исполнения обязательств по возмездному договору (контракту), расчеты по которому за эти товары осуществляются отечественным лицом с использованием денежных или иных платежных средств или в форме встречных поставок товаров, работ, услуг, результатов интеллектуальной деятельности, первый и второй подразделы графы не заполняются.».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                  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0%D1%82%D0%B0%202024%20%D0%B3%D0%BE%D0%B4%D0%B0%20%E2%84%96%2094%20%C2%AB%D0%9E%D0%B1%20%D1%83%D1%82%D0%B2%D0%B5%D1%80%D0%B6%D0%B4%D0%B5%D0%BD%D0%B8%D0%B8%20%D1%84%D0%BE%D1%80%D0%BC%D1%8B%20%D1%82%D0%B0%D0%BC%D0%BE%D0%B6%D0%B5%D0%BD%D0%BD%D0%BE%D0%B9%20%D0%B4%D0%B5%D0%BA%D0%BB%D0%B0%D1%80%D0%B0%D1%86%D0%B8%D0%B8%20%D0%B8%20%D0%BF%D0%BE%D1%80%D1%8F%D0%B4%D0%BA%D0%B0%20%D0%B5%D0%B5%20%D0%B7%D0%B0%D0%BF%D0%BE%D0%BB%D0%BD%D0%B5%D0%BD%D0%B8%D1%8F%C2%BB" TargetMode="External"/><Relationship Id="rId6" Type="http://schemas.openxmlformats.org/officeDocument/2006/relationships/hyperlink" Target="documents/search/doc-link/?q=%D0%BE%D1%82%2024%20%D0%B8%D1%8E%D0%BB%D1%8F%202024%20%D0%B3%D0%BE%D0%B4%D0%B0%20%E2%84%96%20235" TargetMode="External"/><Relationship Id="rId7" Type="http://schemas.openxmlformats.org/officeDocument/2006/relationships/hyperlink" Target="documents/search/doc-link/?q=%D0%BE%D1%82%202%20%D0%BD%D0%BE%D1%8F%D0%B1%D1%80%D1%8F%202024%20%D0%B3%D0%BE%D0%B4%D0%B0%20%E2%84%96%2032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433</Words>
  <Characters>2906</Characters>
  <CharactersWithSpaces>3350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