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бюджете Единого государственного фонда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 xml:space="preserve">социального страхования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на 2024 год»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425-З-VII «О бюджете Единого государственного фонда социального страхования Приднестровской Молдавской Республики на 2024 год» (САЗ 24-1)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15-ЗИ-VII (САЗ 24-12)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8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8.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Сумма единого социального налога, зачисляемая в Фонд, подлежит уменьшению налогоплательщиком (организацией-страхователем) на произведенные им самостоятельно расходы на обязательные цели государственного социального страхования в порядке, предусмотренном Законом Приднестровской Молдавской Республики «О едином социальном налоге и обязательном страховом взносе». Положительная разница между суммами начисленных в отчетном периоде пособий и выплаченных налогоплательщиком (организацией-страхователем) самостоятельно, которые были засчитаны в счет единого социального налога, исчисленного для поступления в Фонд, подлежит: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отражению налогоплательщиком (организацией-страхователем) </w:t>
      </w:r>
      <w:r>
        <w:rPr/>
        <w:br/>
      </w:r>
      <w:r>
        <w:rPr>
          <w:rFonts w:ascii="times new roman;times" w:hAnsi="times new roman;times"/>
          <w:sz w:val="24"/>
        </w:rPr>
        <w:t>в отчетах по единому социальному налогу последующих налоговых периодов;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зачету в счет предстоящих платежей в Фонд до полного погашения либо на основании письменного обращения налогоплательщика возмещению из средств Фонда в соответствии с порядком, установленным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случае возникновения отрицательной разницы между суммами начисленных в отчетном периоде пособий и выплаченных налогоплательщиком (организацией-страхователем) самостоятельно, которые были зачтены в счет единого социального налога, зачисляемого в Фонд в результате осуществления налогоплательщиком (организацией-страхователем) корректировки сумм самостоятельно произведенных выплат на обязательные цели государственного социального страхования за предшествующие периоды текущего календарного года, а также за периоды прошлых лет, образовавшаяся сумма задолженности подлежит перечислению налогоплательщиком (организацией-страхователем) на счет Фонда».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пункте 1 статьи 10 слова «а также индивидуальным предпринимателям и частным нотариусам» заменить словами «а также индивидуальным предпринимателям, частным нотариусам и лицам, обладающим статусом адвоката, в том числе в случае его приостановления на период ухода за ребенком до достижения им возраста двух лет» с последующей запятой.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опубликования, 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122-ЗИ-VII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4%D0%B5%D0%BA%D0%B0%D0%B1%D1%80%D1%8F%202023%20%D0%B3%D0%BE%D0%B4%D0%B0%20%E2%84%96%20425-%D0%97-VII%20%C2%AB%D0%9E%20%D0%B1%D1%8E%D0%B4%D0%B6%D0%B5%D1%82%D0%B5%20%D0%95%D0%B4%D0%B8%D0%BD%D0%BE%D0%B3%D0%BE%20%D0%B3%D0%BE%D1%81%D1%83%D0%B4%D0%B0%D1%80%D1%81%D1%82%D0%B2%D0%B5%D0%BD%D0%BD%D0%BE%D0%B3%D0%BE%20%D1%84%D0%BE%D0%BD%D0%B4%D0%B0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20%D0%BD%D0%B0%202024%20%D0%B3%D0%BE%D0%B4%C2%BB%20%28%D0%A1%D0%90%D0%97%2024-1%29" TargetMode="External"/><Relationship Id="rId6" Type="http://schemas.openxmlformats.org/officeDocument/2006/relationships/hyperlink" Target="documents/search/doc-link/?q=%D0%BE%D1%82%2031%20%D1%8F%D0%BD%D0%B2%D0%B0%D1%80%D1%8F%202024%20%D0%B3%D0%BE%D0%B4%D0%B0%20%E2%84%96%2015-%D0%97%D0%98-VII%20%28%D0%A1%D0%90%D0%97%2024-1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358</Words>
  <Characters>2674</Characters>
  <CharactersWithSpaces>3059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