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КУЛЬТУРЕ И ИСТОРИЧЕСКОМУ НАСЛЕДИЮ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Порядка ведения и формы Реестра мастеров народных художественных промыслов и ремесленников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4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12566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августа 2008 года № 535-З-IV «О культуре» (САЗ 08-33)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2009 года № 810-З-IV «О народных художественных промыслах и ремёслах» (САЗ 09-29)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62 «Об утверждении Положения, структуры и предельной штатной численности Государственной службы по культуре и историческому наследию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372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56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2019 года № 157 (САЗ 19-18)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 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2022 года № 353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133 (САЗ 23-16)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310 (САЗ 23-37)</w:t>
        </w:r>
      </w:hyperlink>
      <w:r>
        <w:rPr>
          <w:rFonts w:ascii="times new roman;times" w:hAnsi="times new roman;times"/>
          <w:sz w:val="24"/>
        </w:rPr>
        <w:t xml:space="preserve">, 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85 (САЗ 24-8)</w:t>
        </w:r>
      </w:hyperlink>
      <w:r>
        <w:rPr>
          <w:rFonts w:ascii="times new roman;times" w:hAnsi="times new roman;times"/>
          <w:sz w:val="24"/>
        </w:rPr>
        <w:t xml:space="preserve">, в целях сохранения, развития и популяризации народных художественных промыслов и ремёсел в Приднестровской Молдавской Республике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 Утвердить: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Порядок ведения Реестра мастеров народных художественных промыслов и ремесленников Приднестровской Молдавской Республики согласно Приложению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форму Реестра мастеров народных художественных промыслов и ремесленников Приднестровской Молдавской Республики согласно Приложению №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Управлению культуры, искусства, образования и дополнительного образования художественно-эстетической направленности Государственной службы по культуре и историческому наследию Приднестровской Молдавской Республики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Начальникам управлений культуры городов (районов) Приднестровской Молдавской Республики довести настоящий Приказ до сведения руководителей учреждений культуры, на базе которых функционируют мастера народного художественного промысла, ремесленники, коллективы декоративно-прикладного творчества, а также до сведения мастеров народных художественных промыслов, ремесленников, работающих (осуществляющим творческую деятельность) в частных мастерских в городах и районах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              М. КЫРМЫЗ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Государственной службы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культуре и историческому наследию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мая 2024 года № 101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ведения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Реестра мастеров народных художественных промыслов и ремесленников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Порядок определяет правила ведения Реестра мастеров народных художественных промыслов и ремесленников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Реестр мастеров народных художественных промыслов и ремесленников Приднестровской Молдавской Республики (далее – Реестр) - единый свод данных, содержащий сведения о мастерах народного художественного промысла и ремесленниках, проживающих на территории Приднестровской Молдавской Республики, работающих в сохранении традиционных техник, по изготовлению ремесленных изделий и (или) уникальных изделий народного художественного промысла, в том числе с использованием художественно-стилевых особенностей народного художественного промысла, творческого варьирования.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Реестр вносятся сведения о мастерах народного художественного промысла и ремесленниках, статус которых подтвержден Свидетельством в порядке, предусмотренном Положением о мастере народных художественных промыслов, ремесленнике, утвержденным нормативным правовым актом Государственной службы по культуре и историческому наследию Приднестровской Молдавской Республики (далее – Положение о мастере народных художественных промыслов, ремесленнике).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Ответственным за ведение Реестра является Государственная служба по культуре и историческому наследию Приднестровской Молдавской Республики (далее – уполномоченный орган).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Уполномоченный орган ведет Реестр с разбивкой по каждому населенному пункту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Уполномоченный орган размещает информацию в Реестре на своем официальном сайте в глобальной сети Интернет (https://culture.gospmr.org/) (далее – сайт) в подразделе «Реестр мастеров народных художественных промыслов, ремесленников Приднестровской Молдавской Республики», который имеет древовидную структуру, состоящую из совокупности гиперссылок нескольких уровней: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первый уровень включает перечень городов и районов Приднестровской Молдавской Республики в виде гиперссылок, которые ведут на второй уровень;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второй уровень включает список фамилий, имен, отчеств (при наличии) мастеров народных художественных промыслов и ремесленников в виде гиперссылок, каждая из которых ведет на отдельную страницу сайта, содержащую сведения о каждом мастере народных художественных промыслов, ремесленнике и их изделиях.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Уполномоченный орган вносит соответствующие изменения в Реестр в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лишения мастера народных художественных промыслов, ремесленника соответствующего статуса в порядке, предусмотренном Положением о мастере народных художественных промыслов, ремесленнике;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изменения сведений о мастере народных художественных промыслов, ремесленнике (изменение фамилии, места осуществления творческой деятельности). Изменения вносятся на основании заявления мастера народных художественных промыслов, ремесленника, поданного в уполномоченный орган вместе с документами, подтверждающие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Для формирования Реестра, ведения и обеспечения бесперебойной работы Реестра на сайте уполномоченный орган приказом создает рабочую группу.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Государственной службы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культуре и историческому наследию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мая 2024 года № 101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Реестра мастеров народных художественных промыслов и ремесленников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7"/>
        <w:gridCol w:w="1937"/>
        <w:gridCol w:w="1744"/>
        <w:gridCol w:w="1808"/>
        <w:gridCol w:w="1243"/>
        <w:gridCol w:w="1301"/>
        <w:gridCol w:w="166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населенного пункта (район, город (село) проживания мастера народных художественных промыслов, ремесленника)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мастера народных художественных промыслов, ремесленника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учреждения, на базе которого работает (осуществляет творческую деятельность) мастер народных художественных промыслов, ремесленник (либо указание, что работает в частной мастерской)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Вид промысла/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ремесла (материал)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Техника изготовления изделий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Место традиционного бытования народного художественного промысла, ремесла          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форму Реестра мастеров народных художественных промыслов и ремесленников Приднестровской Молдавской Республики также включается: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цветная фотография мастера народного художественного промысла, ремесленника;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цветные фотографии изделий, изготовленных в различных техниках (с нумерацией фотографий изделий, соответствующих вышеуказанной формы (таблицы).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0%D0%B2%D0%B3%D1%83%D1%81%D1%82%D0%B0%202008%20%D0%B3%D0%BE%D0%B4%D0%B0%20%E2%84%96%20535-%D0%97-IV%20%C2%AB%D0%9E%20%D0%BA%D1%83%D0%BB%D1%8C%D1%82%D1%83%D1%80%D0%B5%C2%BB%20%28%D0%A1%D0%90%D0%97%2008-33%29" TargetMode="External"/><Relationship Id="rId6" Type="http://schemas.openxmlformats.org/officeDocument/2006/relationships/hyperlink" Target="documents/search/doc-link/?q=%D0%BE%D1%82%2013%20%D0%B8%D1%8E%D0%BB%D1%8F%202009%20%D0%B3%D0%BE%D0%B4%D0%B0%20%E2%84%96%20810-%D0%97-IV%20%C2%AB%D0%9E%20%D0%BD%D0%B0%D1%80%D0%BE%D0%B4%D0%BD%D1%8B%D1%85%20%D1%85%D1%83%D0%B4%D0%BE%D0%B6%D0%B5%D1%81%D1%82%D0%B2%D0%B5%D0%BD%D0%BD%D1%8B%D1%85%20%D0%BF%D1%80%D0%BE%D0%BC%D1%8B%D1%81%D0%BB%D0%B0%D1%85%20%D0%B8%20%D1%80%D0%B5%D0%BC%D1%91%D1%81%D0%BB%D0%B0%D1%85%C2%BB%20%28%D0%A1%D0%90%D0%97%2009-29%29" TargetMode="External"/><Relationship Id="rId7" Type="http://schemas.openxmlformats.org/officeDocument/2006/relationships/hyperlink" Target="documents/search/doc-link/?q=%D0%BE%D1%82%206%20%D0%B0%D0%BF%D1%80%D0%B5%D0%BB%D1%8F%202017%20%D0%B3%D0%BE%D0%B4%D0%B0%20%E2%84%96%206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0%BA%D1%83%D0%BB%D1%8C%D1%82%D1%83%D1%80%D0%B5%20%D0%B8%20%D0%B8%D1%81%D1%82%D0%BE%D1%80%D0%B8%D1%87%D0%B5%D1%81%D0%BA%D0%BE%D0%BC%D1%83%20%D0%BD%D0%B0%D1%81%D0%BB%D0%B5%D0%B4%D0%B8%D1%8E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20372%20%28%D0%A1%D0%90%D0%97%2018-1%29" TargetMode="External"/><Relationship Id="rId9" Type="http://schemas.openxmlformats.org/officeDocument/2006/relationships/hyperlink" Target="documents/search/doc-link/?q=%D0%BE%D1%82%2022%20%D1%84%D0%B5%D0%B2%D1%80%D0%B0%D0%BB%D1%8F%202018%20%D0%B3%D0%BE%D0%B4%D0%B0%20%E2%84%96%2056%20%28%D0%A1%D0%90%D0%97%2018-9%29" TargetMode="External"/><Relationship Id="rId10" Type="http://schemas.openxmlformats.org/officeDocument/2006/relationships/hyperlink" Target="documents/search/doc-link/?q=%D0%BE%D1%82%2018%20%D0%BC%D0%B0%D1%8F%202019%20%D0%B3%D0%BE%D0%B4%D0%B0%20%E2%84%96%20157%20%28%D0%A1%D0%90%D0%97%2019-18%29" TargetMode="External"/><Relationship Id="rId11" Type="http://schemas.openxmlformats.org/officeDocument/2006/relationships/hyperlink" Target="documents/search/doc-link/?q=%D0%BE%D1%82%2031%20%D0%B0%D0%B2%D0%B3%D1%83%D1%81%D1%82%D0%B0%202021%20%D0%B3%D0%BE%D0%B4%D0%B0%C2%A0%E2%84%96%20286%20%28%D0%A1%D0%90%D0%97%2021-35%29" TargetMode="External"/><Relationship Id="rId12" Type="http://schemas.openxmlformats.org/officeDocument/2006/relationships/hyperlink" Target="documents/search/doc-link/?q=%D0%BE%D1%82%2021%20%D1%81%D0%B5%D0%BD%D1%82%D1%8F%D0%B1%D1%80%D1%8F%202022%20%D0%B3%D0%BE%D0%B4%D0%B0%20%E2%84%96%20353%20%28%D0%A1%D0%90%D0%97%2022-37%29" TargetMode="External"/><Relationship Id="rId13" Type="http://schemas.openxmlformats.org/officeDocument/2006/relationships/hyperlink" Target="documents/search/doc-link/?q=%D0%BE%D1%82%2013%20%D0%B0%D0%BF%D1%80%D0%B5%D0%BB%D1%8F%202023%20%D0%B3%D0%BE%D0%B4%D0%B0%20%E2%84%96%20133%20%28%D0%A1%D0%90%D0%97%2023-16%29" TargetMode="External"/><Relationship Id="rId14" Type="http://schemas.openxmlformats.org/officeDocument/2006/relationships/hyperlink" Target="documents/search/doc-link/?q=%D0%BE%D1%82%2014%20%D1%81%D0%B5%D0%BD%D1%82%D1%8F%D0%B1%D1%80%D1%8F%202023%20%D0%B3%D0%BE%D0%B4%D0%B0%20%E2%84%96%20310%20%28%D0%A1%D0%90%D0%97%2023-37%29" TargetMode="External"/><Relationship Id="rId15" Type="http://schemas.openxmlformats.org/officeDocument/2006/relationships/hyperlink" Target="documents/search/doc-link/?q=%D0%BE%D1%82%2012%20%D1%84%D0%B5%D0%B2%D1%80%D0%B0%D0%BB%D1%8F%202024%20%D0%B3%D0%BE%D0%B4%D0%B0%20%E2%84%96%2085%20%28%D0%A1%D0%90%D0%97%2024-8%29" TargetMode="External"/><Relationship Id="rId16" Type="http://schemas.openxmlformats.org/officeDocument/2006/relationships/hyperlink" Target="documents/search/doc-link/?q=%D0%BE%D1%82%2024%20%D0%BC%D0%B0%D1%8F%202024%20%D0%B3%D0%BE%D0%B4%D0%B0%20%E2%84%96%2010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870</Words>
  <Characters>6525</Characters>
  <CharactersWithSpaces>7446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