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15 августа 2018 года № 283</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оказанию услуг по технической защите</w:t>
      </w:r>
    </w:p>
    <w:p>
      <w:pPr>
        <w:pStyle w:val="BodyTextoutside-table"/>
        <w:bidi w:val="0"/>
        <w:spacing w:before="0" w:after="283"/>
        <w:ind w:firstLine="709" w:left="0" w:right="0"/>
        <w:jc w:val="center"/>
        <w:rPr/>
      </w:pPr>
      <w:r>
        <w:rPr>
          <w:rStyle w:val="Strong"/>
          <w:rFonts w:ascii="times new roman;times" w:hAnsi="times new roman;times"/>
          <w:sz w:val="24"/>
        </w:rPr>
        <w:t>конфиденциальной информации»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15 августа 2018 года № 283 «Об утверждении Положения 
о лицензировании деятельности по оказанию услуг по технической защите конфиденциальной информации» (САЗ 18-33)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27">
        <w:r>
          <w:rPr>
            <w:rFonts w:ascii="times new roman;times" w:hAnsi="times new roman;times"/>
            <w:sz w:val="24"/>
            <w:color w:val="0563C1"/>
            <w:u w:val="single"/>
          </w:rPr>
          <w:t xml:space="preserve">от 28 декабря 2021 года № 410 (САЗ 21-52)</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а) часть вторую пункта 9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«Уведомление о выдаче лицензии направляется (вручается) соискателю лицензии в письменной либо электронной форме с указанием реквизитов банковского счета и срока оплаты лицензионного сбора»;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б) часть вторую пункта 10 Приложения к Постановлению изложить </w:t>
      </w:r>
      <w:r>
        <w:rPr/>
        <w:br/>
      </w:r>
      <w:r>
        <w:rPr>
          <w:rFonts w:ascii="times new roman;times" w:hAnsi="times new roman;times"/>
          <w:sz w:val="24"/>
        </w:rPr>
        <w:t>в следующей редакции: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пункт 13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Срок действия лицензии определяется по заявлению соискателя лицензии (лицензиата) и не может быть менее 5 (пяти) лет.</w:t>
      </w:r>
    </w:p>
    <w:p>
      <w:pPr>
        <w:pStyle w:val="BodyTextoutside-table"/>
        <w:bidi w:val="0"/>
        <w:spacing w:before="0" w:after="283"/>
        <w:ind w:firstLine="709" w:left="0" w:right="0"/>
        <w:jc w:val="left"/>
        <w:rPr/>
      </w:pPr>
      <w:r>
        <w:rPr>
          <w:rFonts w:ascii="times new roman;times" w:hAnsi="times new roman;times"/>
          <w:sz w:val="24"/>
        </w:rPr>
        <w:t xml:space="preserve">Срок действия лицензии по его окончании может быть продлен </w:t>
      </w:r>
      <w:r>
        <w:rPr/>
        <w:br/>
      </w:r>
      <w:r>
        <w:rPr>
          <w:rFonts w:ascii="times new roman;times" w:hAnsi="times new roman;times"/>
          <w:sz w:val="24"/>
        </w:rPr>
        <w:t>по заявлению лицензиата. Продление срока действия лицензии осуществляется в порядке ее переоформления.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 окончании срока действия лицензии 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17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«17.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9">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w:t>
      </w:r>
      <w:r>
        <w:rPr/>
        <w:t xml:space="preserve">
</w:t>
      </w:r>
      <w:r>
        <w:rPr>
          <w:rFonts w:ascii="times new roman;times" w:hAnsi="times new roman;times"/>
          <w:sz w:val="24"/>
        </w:rPr>
        <w:t xml:space="preserve">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имени, фамилии и отчества (при наличии) индивидуального предпринимателя, изменения адреса места осуществления индивидуальным предпринимателем лицензируемого вида деятельности, прекращения деятельности по одному или нескольким адресам мест ее осуществления, указанным в лицензии, изменения места жительства индивидуального предпринимателя, а также в случаях, предусмотренных статьей 19-2 Закона Приднестровской Молдавской Республики </w:t>
      </w:r>
      <w:hyperlink r:id="rId29">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индивидуальный предприниматель обязан в течение 30 (тридцати) рабочих дней подать в орган, уполномоченный на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переоформлениилицензии, лицензия является недействительной.</w:t>
      </w:r>
    </w:p>
    <w:p>
      <w:pPr>
        <w:pStyle w:val="BodyTextoutside-table"/>
        <w:bidi w:val="0"/>
        <w:spacing w:before="0" w:after="283"/>
        <w:ind w:firstLine="709" w:left="0" w:right="0"/>
        <w:jc w:val="left"/>
        <w:rPr/>
      </w:pPr>
      <w:r>
        <w:rPr>
          <w:rFonts w:ascii="times new roman;times" w:hAnsi="times new roman;times"/>
          <w:sz w:val="24"/>
        </w:rPr>
        <w:t xml:space="preserve">До получения переоформленной лицензии лицензиат в случаях, предусмотренных подпунктами б), г), г-1), д), е) части первой пункта 1 статьи 11 Закона Приднестровской Молдавской Республики </w:t>
      </w:r>
      <w:hyperlink r:id="rId30">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осуществляет лицензируемую деятельность на основании ранее выданной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пункте 18 Приложения к Постановлению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19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«19. При намерении лицензиата продлить срок лицензии лицензиат </w:t>
      </w:r>
      <w:r>
        <w:rPr/>
        <w:br/>
      </w:r>
      <w:r>
        <w:rPr>
          <w:rFonts w:ascii="times new roman;times" w:hAnsi="times new roman;times"/>
          <w:sz w:val="24"/>
        </w:rPr>
        <w:t xml:space="preserve">в течение 30 (тридцати) рабочих дней до дня окончания срока действия лицензии обязан представить документы, подтверждающие право </w:t>
      </w:r>
      <w:r>
        <w:rPr/>
        <w:br/>
      </w:r>
      <w:r>
        <w:rPr>
          <w:rFonts w:ascii="times new roman;times" w:hAnsi="times new roman;times"/>
          <w:sz w:val="24"/>
        </w:rPr>
        <w:t>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0%D0%B2%D0%B3%D1%83%D1%81%D1%82%D0%B0%202018%20%D0%B3%D0%BE%D0%B4%D0%B0%20%E2%84%96%20283"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15%20%D0%B0%D0%B2%D0%B3%D1%83%D1%81%D1%82%D0%B0%202018%20%D0%B3%D0%BE%D0%B4%D0%B0%20%E2%84%96%20283%20%C2%AB%D0%9E%D0%B1%20%D1%83%D1%82%D0%B2%D0%B5%D1%80%D0%B6%D0%B4%D0%B5%D0%BD%D0%B8%D0%B8%20%D0%9F%D0%BE%D0%BB%D0%BE%D0%B6%D0%B5%D0%BD%D0%B8%D1%8F%20%0A%D0%BE%20%D0%BB%D0%B8%D1%86%D0%B5%D0%BD%D0%B7%D0%B8%D1%80%D0%BE%D0%B2%D0%B0%D0%BD%D0%B8%D0%B8%20%D0%B4%D0%B5%D1%8F%D1%82%D0%B5%D0%BB%D1%8C%D0%BD%D0%BE%D1%81%D1%82%D0%B8%20%D0%BF%D0%BE%20%D0%BE%D0%BA%D0%B0%D0%B7%D0%B0%D0%BD%D0%B8%D1%8E%20%D1%83%D1%81%D0%BB%D1%83%D0%B3%20%D0%BF%D0%BE%20%D1%82%D0%B5%D1%85%D0%BD%D0%B8%D1%87%D0%B5%D1%81%D0%BA%D0%BE%D0%B9%20%D0%B7%D0%B0%D1%89%D0%B8%D1%82%D0%B5%20%D0%BA%D0%BE%D0%BD%D1%84%D0%B8%D0%B4%D0%B5%D0%BD%D1%86%D0%B8%D0%B0%D0%BB%D1%8C%D0%BD%D0%BE%D0%B9%20%D0%B8%D0%BD%D1%84%D0%BE%D1%80%D0%BC%D0%B0%D1%86%D0%B8%D0%B8%C2%BB%20%28%D0%A1%D0%90%D0%97%2018-33%29" TargetMode="External"/><Relationship Id="rId27" Type="http://schemas.openxmlformats.org/officeDocument/2006/relationships/hyperlink" Target="documents/search/doc-link/?q=%D0%BE%D1%82%2028%20%D0%B4%D0%B5%D0%BA%D0%B0%D0%B1%D1%80%D1%8F%202021%20%D0%B3%D0%BE%D0%B4%D0%B0%20%E2%84%96%20410%20%28%D0%A1%D0%90%D0%97%2021-52%29" TargetMode="External"/><Relationship Id="rId28" Type="http://schemas.openxmlformats.org/officeDocument/2006/relationships/hyperlink" Target="documents/search/doc-link/?q=%D0%BE%D1%82%204%20%D0%B0%D0%BF%D1%80%D0%B5%D0%BB%D1%8F%202022%20%D0%B3%D0%BE%D0%B4%D0%B0%20%E2%84%96%20110%20%28%D0%A1%D0%90%D0%97%2022-13%29" TargetMode="External"/><Relationship Id="rId29"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 Id="rId30" Type="http://schemas.openxmlformats.org/officeDocument/2006/relationships/hyperlink" Target="documents/search/doc-link/?q=%D0%BE%D1%82%2010%20%D0%B8%D1%8E%D0%BB%D1%8F%202002%20%D0%B3%D0%BE%D0%B4%D0%B0%20%0A%E2%84%96%20151-%D0%97-III%20%C2%AB%D0%9E%20%D0%BB%D0%B8%D1%86%D0%B5%D0%BD%D0%B7%D0%B8%D1%80%D0%BE%D0%B2%D0%B0%D0%BD%D0%B8%D0%B8%20%D0%BE%D1%82%D0%B4%D0%B5%D0%BB%D1%8C%D0%BD%D1%8B%D1%85%20%D0%B2%D0%B8%D0%B4%D0%BE%D0%B2%20%D0%B4%D0%B5%D1%8F%D1%82%D0%B5%D0%BB%D1%8C%D0%BD%D0%BE%D1%81%D1%82%D0%B8%C2%BB%20%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964</Words>
  <Characters>6206</Characters>
  <CharactersWithSpaces>7222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