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 xml:space="preserve">Приднестровской Молдавской Республики </w:t>
      </w:r>
    </w:p>
    <w:p>
      <w:pPr>
        <w:pStyle w:val="BodyText"/>
        <w:bidi w:val="0"/>
        <w:spacing w:before="0" w:after="283"/>
        <w:ind w:hanging="0"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«О внесении изменений и дополнений в Закон </w:t>
      </w:r>
    </w:p>
    <w:p>
      <w:pPr>
        <w:pStyle w:val="BodyTextoutside-table"/>
        <w:bidi w:val="0"/>
        <w:spacing w:before="0" w:after="283"/>
        <w:ind w:firstLine="709" w:left="0" w:right="0"/>
        <w:jc w:val="center"/>
        <w:rPr/>
      </w:pPr>
      <w:r>
        <w:rPr>
          <w:rStyle w:val="Strong"/>
          <w:rFonts w:ascii="times new roman;times" w:hAnsi="times new roman;times"/>
          <w:sz w:val="24"/>
        </w:rPr>
        <w:t xml:space="preserve">Приднестровской Молдавской Республики </w:t>
      </w:r>
    </w:p>
    <w:p>
      <w:pPr>
        <w:pStyle w:val="BodyTextoutside-table"/>
        <w:bidi w:val="0"/>
        <w:spacing w:before="0" w:after="283"/>
        <w:ind w:firstLine="709" w:left="0" w:right="0"/>
        <w:jc w:val="center"/>
        <w:rPr/>
      </w:pPr>
      <w:r>
        <w:rPr>
          <w:rStyle w:val="Strong"/>
          <w:rFonts w:ascii="times new roman;times" w:hAnsi="times new roman;times"/>
          <w:sz w:val="24"/>
        </w:rPr>
        <w:t>«О закупках в Приднестровской Молдавской Республике»</w:t>
      </w:r>
    </w:p>
    <w:p>
      <w:pPr>
        <w:pStyle w:val="BodyTextoutside-table"/>
        <w:bidi w:val="0"/>
        <w:spacing w:before="0" w:after="283"/>
        <w:ind w:firstLine="709" w:left="0" w:right="0"/>
        <w:jc w:val="center"/>
        <w:rPr/>
      </w:pPr>
      <w:r>
        <w:rPr>
          <w:rStyle w:val="Emphasis"/>
        </w:rPr>
        <w:t> </w:t>
      </w:r>
    </w:p>
    <w:p>
      <w:pPr>
        <w:pStyle w:val="BodyTextoutside-table"/>
        <w:bidi w:val="0"/>
        <w:spacing w:before="0" w:after="283"/>
        <w:ind w:firstLine="709" w:left="0" w:right="0"/>
        <w:jc w:val="center"/>
        <w:rPr/>
      </w:pPr>
      <w:r>
        <w:rPr>
          <w:rStyle w:val="Emphasis"/>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27 марта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w:t>
      </w:r>
      <w:r>
        <w:rPr>
          <w:rFonts w:ascii="times new roman;times" w:hAnsi="times new roman;times"/>
          <w:sz w:val="24"/>
        </w:rPr>
        <w:t xml:space="preserve"> Внести в Закон Приднестровской Молдавской Республики </w:t>
      </w:r>
      <w:r>
        <w:rPr/>
        <w:t xml:space="preserve">
</w:t>
      </w:r>
      <w:hyperlink r:id="rId5">
        <w:r>
          <w:rPr>
            <w:rFonts w:ascii="times new roman;times" w:hAnsi="times new roman;times"/>
            <w:sz w:val="24"/>
            <w:color w:val="0563C1"/>
            <w:u w:val="single"/>
          </w:rPr>
          <w:t xml:space="preserve">от 26 ноября 2018 года № 318-З-VI «О закупках в Приднестровской Молдавской Республике» (САЗ 18-48)</w:t>
        </w:r>
      </w:hyperlink>
      <w:r>
        <w:rPr>
          <w:rFonts w:ascii="times new roman;times" w:hAnsi="times new roman;times"/>
          <w:sz w:val="24"/>
        </w:rPr>
        <w:t xml:space="preserve"> с изменениями и дополнениями, внесенными законами Приднестровской Молдавской Республики </w:t>
      </w:r>
      <w:r>
        <w:rPr/>
        <w:t xml:space="preserve">
</w:t>
      </w:r>
      <w:hyperlink r:id="rId6">
        <w:r>
          <w:rPr>
            <w:rFonts w:ascii="times new roman;times" w:hAnsi="times new roman;times"/>
            <w:sz w:val="24"/>
            <w:color w:val="0563C1"/>
            <w:u w:val="single"/>
          </w:rPr>
          <w:t xml:space="preserve">от 27 декабря 2019 года № 258-ЗИД-VI (САЗ 19-50)</w:t>
        </w:r>
      </w:hyperlink>
      <w:r>
        <w:rPr>
          <w:rFonts w:ascii="times new roman;times" w:hAnsi="times new roman;times"/>
          <w:sz w:val="24"/>
        </w:rPr>
        <w:t xml:space="preserve">; </w:t>
      </w:r>
      <w:hyperlink r:id="rId7">
        <w:r>
          <w:rPr>
            <w:rFonts w:ascii="times new roman;times" w:hAnsi="times new roman;times"/>
            <w:sz w:val="24"/>
            <w:color w:val="0563C1"/>
            <w:u w:val="single"/>
          </w:rPr>
          <w:t xml:space="preserve">от 7 июля 2020 года 
№ 83-ЗИД-VI (САЗ 20-28)</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14 декабря 2020 года № 220-ЗИД-VI 
(САЗ 20-51)</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25 февраля 2021 года № 15-ЗИД-VII (САЗ 21-8)</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22 марта 2021 года № 43-ЗИД-VII (САЗ 21-12)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7 июля 2021 года № 150-ЗИД-VII (САЗ 21-27)</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26 июля 2021 года № 187-ЗИ-VII (САЗ 21-30)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27 июля 
2021 года № 200-ЗИД-VII (САЗ 21-30)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22 ноября 2021 года 
№ 286-ЗИД-VII (САЗ 21-47)</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20 декабря 2021 года № 335-ЗИД-VII 
(САЗ 21-51)</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30 декабря 2021 года № 365-ЗИД-VII (САЗ 21-52,1)</w:t>
        </w:r>
      </w:hyperlink>
      <w:r>
        <w:rPr>
          <w:rFonts w:ascii="times new roman;times" w:hAnsi="times new roman;times"/>
          <w:sz w:val="24"/>
        </w:rPr>
        <w:t xml:space="preserve">; </w:t>
      </w:r>
      <w:r>
        <w:rPr/>
        <w:t xml:space="preserve">
</w:t>
      </w:r>
      <w:hyperlink r:id="rId17">
        <w:r>
          <w:rPr>
            <w:rFonts w:ascii="times new roman;times" w:hAnsi="times new roman;times"/>
            <w:sz w:val="24"/>
            <w:color w:val="0563C1"/>
            <w:u w:val="single"/>
          </w:rPr>
          <w:t xml:space="preserve">от 13 июля 2022 года № 177-ЗИД-VII (САЗ 22-27)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25 июля 2022 года 
№ 201-ЗИ-VII (САЗ 22-29)</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29 июля 2022 года № 229-ЗИД-VII 
(САЗ 22-29)</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декабря 2022 года № 371-ЗД-VII (САЗ 22-50)</w:t>
        </w:r>
      </w:hyperlink>
      <w:r>
        <w:rPr>
          <w:rFonts w:ascii="times new roman;times" w:hAnsi="times new roman;times"/>
          <w:sz w:val="24"/>
        </w:rPr>
        <w:t xml:space="preserve">; </w:t>
      </w:r>
      <w:r>
        <w:rPr/>
        <w:t xml:space="preserve">
</w:t>
      </w:r>
      <w:hyperlink r:id="rId21">
        <w:r>
          <w:rPr>
            <w:rFonts w:ascii="times new roman;times" w:hAnsi="times new roman;times"/>
            <w:sz w:val="24"/>
            <w:color w:val="0563C1"/>
            <w:u w:val="single"/>
          </w:rPr>
          <w:t xml:space="preserve">от 29 декабря 2022 года № 398-ЗИД-VII (САЗ 23-1)</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16 февраля 2023 года № 20-ЗИ-VII (САЗ 23-7,1)</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19 апреля 2023 года № 81-ЗИ-VII (САЗ 23-16)</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17 июля 2023 года № 231-ЗИ-VII (САЗ 23-29)</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17 июля 2023 года 
№ 232-ЗИ-VII (САЗ 23-29)</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1 декабря 2023 года № 362-ЗД-VII (САЗ 23-48)</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7 декабря 2023 года № 368-ЗИД-VII (САЗ 23-49)</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26 декабря 2023 года № 416-ЗИД-VII (САЗ 24-1)</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12 февраля 2024 года № 19-ЗИД-VII 
(САЗ 24-8)</w:t>
        </w:r>
      </w:hyperlink>
      <w:r>
        <w:rPr>
          <w:rFonts w:ascii="times new roman;times" w:hAnsi="times new roman;times"/>
          <w:sz w:val="24"/>
        </w:rPr>
        <w:t xml:space="preserve">, следующие изменения и дополнения.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Подпункт г) пункта 2 статьи 4 после слова «заключенных» дополнить словом «коммерческими».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Статью 24 дополнить пунктом 5-1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«5-1. Копии контрактов, за исключением контрактов на закупку (оказание, выполнение) товаров (работ, услуг), определенных статьей 48 настоящего Закона, а также сведений, составляющих государственную тайну, размещаются государственным (муниципальным) заказчиком в информационной системе в течение 3 (трех) рабочих дней, следующих за днем заключения контрактов».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Подпункт а) пункта 3 статьи 53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соответствия информации об объемах закупок лимитам финансирования, совокупному годовому объему закупок, содержащимся в планах закупок, в извещениях об осуществлении закупок, в документации о закупках, в протоколах определения поставщиков (подрядчиков, исполнителей), в протоколах заключенных контрактов, в реестре контрактов, заключенных коммерческими заказчиками, реестре закупок государственных (муниципальных) заказчиков».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Статью 54-1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54-1. Текущий контроль в сфере закупок, осуществляемый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исполнительным органом государственной власти, 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ведении которого находятся вопросы планирования 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исполнения бюджета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Исполнительный орган государственной власти, в ведении которого находятся вопросы планирования и исполнения бюджета, по мере размещения государственными (муниципальными) заказчиками информации, включаемой в реестр закупок, в порядке, определенном Правительством Приднестровской Молдавской Республики,осуществляет текущий контроль в отношении непревышения объема закупок (принятых обязательств) утвержденным лимитам финансирования».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Статью 55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55. Реестр контрактов, заключенных коммерческими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заказчиками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Реестр контрактов, заключенных коммерческими заказчиками, ведут государственные (муниципальные) унитарные предприятия и юридические лица, в уставном капитале которых доля участия Приднестровской Молдавской Республики, муниципального образования, государственного (муниципального) унитарного предприятия в совокупности превышает </w:t>
      </w:r>
      <w:r>
        <w:rPr/>
        <w:br/>
      </w:r>
      <w:r>
        <w:rPr>
          <w:rFonts w:ascii="times new roman;times" w:hAnsi="times new roman;times"/>
          <w:sz w:val="24"/>
        </w:rPr>
        <w:t>50 процентов.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Порядок ведения реестра контрактов, заключенных коммерческими заказчиками, устанавливается Правительством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В реестр контрактов, заключенных коммерческими заказчиками, включаются следующие документы и информация: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наименование заказчика;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источник финансирования;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способ определения поставщика (подрядчика, исполнителя);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дата заключения контракта;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объект закупки, цена контракта и срок его исполнения, цена единицы товара, работы или услуги, наименование страны происхождения или информация о производителе товара;</w:t>
      </w:r>
    </w:p>
    <w:p>
      <w:pPr>
        <w:pStyle w:val="BodyTextoutside-table"/>
        <w:bidi w:val="0"/>
        <w:spacing w:before="0" w:after="283"/>
        <w:ind w:firstLine="709" w:left="0" w:right="0"/>
        <w:jc w:val="left"/>
        <w:rPr/>
      </w:pPr>
      <w:r>
        <w:rPr>
          <w:rFonts w:ascii="times new roman;times" w:hAnsi="times new roman;times"/>
          <w:sz w:val="24"/>
        </w:rPr>
        <w:t xml:space="preserve">ж) фирменное наименование (наименование), сведения </w:t>
      </w:r>
      <w:r>
        <w:rPr/>
        <w:br/>
      </w:r>
      <w:r>
        <w:rPr>
          <w:rFonts w:ascii="times new roman;times" w:hAnsi="times new roman;times"/>
          <w:sz w:val="24"/>
        </w:rPr>
        <w:t xml:space="preserve">об организационно-правовой форме, о месте нахождения, почтовый адрес (для юридического лица), фамилия, имя, отчество (при наличии) (для физического лица, не являющегося индивидуальным предпринимателем), фамилия, имя, отчество (при наличии), номер предпринимательского патента (для индивидуального предпринимателя, применяющего патентную систему налогообложения) и (или) номер документа, подтверждающего право </w:t>
      </w:r>
      <w:r>
        <w:rPr/>
        <w:br/>
      </w:r>
      <w:r>
        <w:rPr>
          <w:rFonts w:ascii="times new roman;times" w:hAnsi="times new roman;times"/>
          <w:sz w:val="24"/>
        </w:rPr>
        <w:t>на применение упрощенной системы налогообложения (для индивидуального предпринимателя, применяющего упрощенную систему налогообложения);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информация об изменении контракта с указанием условий контракта, которые были изменены;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копия заключенного контракта;</w:t>
      </w:r>
    </w:p>
    <w:p>
      <w:pPr>
        <w:pStyle w:val="BodyTextoutside-table"/>
        <w:bidi w:val="0"/>
        <w:spacing w:before="0" w:after="283"/>
        <w:ind w:firstLine="709" w:left="0" w:right="0"/>
        <w:jc w:val="left"/>
        <w:rPr/>
      </w:pPr>
      <w:r>
        <w:rPr>
          <w:rFonts w:ascii="times new roman;times" w:hAnsi="times new roman;times"/>
          <w:sz w:val="24"/>
        </w:rPr>
        <w:t xml:space="preserve">к) информация об исполнении контракта, в том числе информация </w:t>
      </w:r>
      <w:r>
        <w:rPr/>
        <w:br/>
      </w:r>
      <w:r>
        <w:rPr>
          <w:rFonts w:ascii="times new roman;times" w:hAnsi="times new roman;times"/>
          <w:sz w:val="24"/>
        </w:rPr>
        <w:t xml:space="preserve">об оплате контракта, о начислении неустоек (штрафов, пеней) в связи </w:t>
      </w:r>
      <w:r>
        <w:rPr/>
        <w:br/>
      </w:r>
      <w:r>
        <w:rPr>
          <w:rFonts w:ascii="times new roman;times" w:hAnsi="times new roman;times"/>
          <w:sz w:val="24"/>
        </w:rPr>
        <w:t>с ненадлежащим исполнением обязательств, предусмотренных контрактом, стороной контракта;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информация о расторжении контракта с указанием оснований его расторжения;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документ о приемке в случае принятия решения о приемке поставленного товара, выполненной работы, оказанной услуги.</w:t>
      </w:r>
    </w:p>
    <w:p>
      <w:pPr>
        <w:pStyle w:val="BodyTextoutside-table"/>
        <w:bidi w:val="0"/>
        <w:spacing w:before="0" w:after="283"/>
        <w:ind w:firstLine="709" w:left="0" w:right="0"/>
        <w:jc w:val="left"/>
        <w:rPr/>
      </w:pPr>
      <w:r>
        <w:rPr>
          <w:rFonts w:ascii="times new roman;times" w:hAnsi="times new roman;times"/>
          <w:sz w:val="24"/>
        </w:rPr>
        <w:t xml:space="preserve">В реестры контрактов, заключенных коммерческими заказчиками, </w:t>
      </w:r>
      <w:r>
        <w:rPr/>
        <w:br/>
      </w:r>
      <w:r>
        <w:rPr>
          <w:rFonts w:ascii="times new roman;times" w:hAnsi="times new roman;times"/>
          <w:sz w:val="24"/>
        </w:rPr>
        <w:t>не включается информация о контрактах, заключенных с единственным поставщиком (подрядчиком, исполнителем).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Документы и информация, содержащиеся в реестре контрактов, заключенных коммерческими заказчиками, должны быть доступны для ознакомления без взимания платы.</w:t>
      </w:r>
    </w:p>
    <w:p>
      <w:pPr>
        <w:pStyle w:val="BodyTextoutside-table"/>
        <w:bidi w:val="0"/>
        <w:spacing w:before="0" w:after="283"/>
        <w:ind w:firstLine="709" w:left="0" w:right="0"/>
        <w:jc w:val="left"/>
        <w:outlineLvl w:val="1"/>
        <w:rPr/>
      </w:pPr>
      <w:r>
        <w:rPr>
          <w:rFonts w:ascii="times new roman;times" w:hAnsi="times new roman;times"/>
          <w:sz w:val="24"/>
        </w:rPr>
        <w:t xml:space="preserve">5. Контракты, информация о которых не включена в реестр контрактов, заключенных коммерческими заказчиками, не подлежат оплате, </w:t>
      </w:r>
      <w:r>
        <w:rPr/>
        <w:br/>
      </w:r>
      <w:r>
        <w:rPr>
          <w:rFonts w:ascii="times new roman;times" w:hAnsi="times new roman;times"/>
          <w:sz w:val="24"/>
        </w:rPr>
        <w:t>за исключением контрактов, заключенных в соответствии со статьей 48 настоящего Закона».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Дополнить Закон статьей 55-1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«Статья 55-1. Реестр закупок государственных (муниципальных)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заказчиков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Реестр закупок государственных (муниципальных) заказчиков ведет исполнительный орган государственной власти, в ведении которого находятся вопросы планирования и исполнения бюджета.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Порядок ведения реестра закупок государственных (муниципальных) заказчиков устанавливается Правительством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Реестр закупок государственных (муниципальных) заказчиков содержит информацию и документы о возникновении, изменении, исполнении и прекращении всех договорных обязательств государственных (муниципальных) заказчиков, произведенных в соответствии с настоящим Законом, в том числе по закупкам, не требующим заключения контрактов.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реестр закупок государственных (муниципальных) заказчиков включаются следующие документы и информация: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наименование заказчика;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источник финансирования;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способ определения поставщика (подрядчика, исполнителя);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дата подведения результатов определения поставщика (подрядчика, исполнителя) и реквизиты документа, подтверждающего основание заключения контракта (при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дата заключения контракта, возникновения обязательств по закупкам, не требующих заключения контракта;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объект закупки, цена контракта, срок исполнения контракта, наименование страны происхождения или информация о производителе товара;</w:t>
      </w:r>
    </w:p>
    <w:p>
      <w:pPr>
        <w:pStyle w:val="BodyTextoutside-table"/>
        <w:bidi w:val="0"/>
        <w:spacing w:before="0" w:after="283"/>
        <w:ind w:firstLine="709" w:left="0" w:right="0"/>
        <w:jc w:val="left"/>
        <w:rPr/>
      </w:pPr>
      <w:r>
        <w:rPr>
          <w:rFonts w:ascii="times new roman;times" w:hAnsi="times new roman;times"/>
          <w:sz w:val="24"/>
        </w:rPr>
        <w:t xml:space="preserve">ж) фирменное наименование (наименование), сведения </w:t>
      </w:r>
      <w:r>
        <w:rPr/>
        <w:br/>
      </w:r>
      <w:r>
        <w:rPr>
          <w:rFonts w:ascii="times new roman;times" w:hAnsi="times new roman;times"/>
          <w:sz w:val="24"/>
        </w:rPr>
        <w:t xml:space="preserve">об организационно-правовой форме, о месте нахождения, почтовый адрес (для юридического лица), фамилия, имя, отчество (при наличии) (для физического лица, не являющегося индивидуальным предпринимателем), фамилия, имя, отчество (при наличии), номер предпринимательского патента (для индивидуального предпринимателя, применяющего патентную систему налогообложения) и (или) номер документа, подтверждающего право </w:t>
      </w:r>
      <w:r>
        <w:rPr/>
        <w:br/>
      </w:r>
      <w:r>
        <w:rPr>
          <w:rFonts w:ascii="times new roman;times" w:hAnsi="times new roman;times"/>
          <w:sz w:val="24"/>
        </w:rPr>
        <w:t>на применение упрощенной системы налогообложения (для индивидуального предпринимателя, применяющего упрощенную систему налогообложения);</w:t>
      </w:r>
    </w:p>
    <w:p>
      <w:pPr>
        <w:pStyle w:val="BodyTextoutside-table"/>
        <w:bidi w:val="0"/>
        <w:spacing w:before="0" w:after="283"/>
        <w:ind w:firstLine="709" w:left="0" w:right="0"/>
        <w:jc w:val="left"/>
        <w:rPr/>
      </w:pPr>
      <w:r>
        <w:rPr>
          <w:rFonts w:ascii="times new roman;times" w:hAnsi="times new roman;times"/>
          <w:sz w:val="24"/>
        </w:rPr>
        <w:t xml:space="preserve">з) копия заключенного контракта, иного документа о возникновении обязательств по закупкам, не требующих заключения контракта, </w:t>
      </w:r>
      <w:r>
        <w:rPr/>
        <w:br/>
      </w:r>
      <w:r>
        <w:rPr>
          <w:rFonts w:ascii="times new roman;times" w:hAnsi="times new roman;times"/>
          <w:sz w:val="24"/>
        </w:rPr>
        <w:t>за исключением содержащих сведения, составляющие государственную тайну;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информация об изменении контракта с указанием условий контракта, которые были изменены;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информация о расторжении контракта с указанием оснований его расторжения;</w:t>
      </w:r>
    </w:p>
    <w:p>
      <w:pPr>
        <w:pStyle w:val="BodyTextoutside-table"/>
        <w:bidi w:val="0"/>
        <w:spacing w:before="0" w:after="283"/>
        <w:ind w:firstLine="709" w:left="0" w:right="0"/>
        <w:jc w:val="left"/>
        <w:rPr/>
      </w:pPr>
      <w:r>
        <w:rPr>
          <w:rFonts w:ascii="times new roman;times" w:hAnsi="times new roman;times"/>
          <w:sz w:val="24"/>
        </w:rPr>
        <w:t xml:space="preserve">л) информация об исполнении контракта, в том числе информация </w:t>
      </w:r>
      <w:r>
        <w:rPr/>
        <w:br/>
      </w:r>
      <w:r>
        <w:rPr>
          <w:rFonts w:ascii="times new roman;times" w:hAnsi="times new roman;times"/>
          <w:sz w:val="24"/>
        </w:rPr>
        <w:t xml:space="preserve">об оплате контракта, начислении неустоек (штрафов, пеней) в связи </w:t>
      </w:r>
      <w:r>
        <w:rPr/>
        <w:br/>
      </w:r>
      <w:r>
        <w:rPr>
          <w:rFonts w:ascii="times new roman;times" w:hAnsi="times new roman;times"/>
          <w:sz w:val="24"/>
        </w:rPr>
        <w:t>с ненадлежащим исполнением обязательств, предусмотренных контрактом, стороной контракта;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документ о приемке в случае принятия решения о приемке поставленного товара, выполненной работы, оказанной услуги.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В течение 3 (трех) рабочих дней со дня заключения контракта, возникновения обязательств по закупкам, не требующих заключения контракта, государственный (муниципальный) заказчик направляет указанную в подпунктах а)–з) части второй пункта 3 настоящей статьи информацию и документы в исполнительный орган государственной власти, в ведении которого находятся вопросы планирования и исполнения бюджета, в порядке, установленном Правительством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внесения изменений в условия контракта государственные (муниципальные) заказчики направляют в исполнительный орган государственной власти, в ведении которого находятся вопросы планирования и исполнения бюджета, в порядке, установленном Правительством Приднестровской Молдавской Республики, информацию, которая предусмотрена пунктом 2 настоящей статьи и в отношении которой были внесены изменения в условия контракта, в течение 3 (трех) рабочих дней со дня внесения таких изменений.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Информация, указанная в подпунктах и)–м) части второй пункта 3 настоящей статьи, направляется государственными (муниципальными) заказчиками в исполнительный орган государственной власти, в ведении которого находятся вопросы планирования и исполнения бюджета, в порядке, установленном Правительством Приднестровской Молдавской Республики, в течение 3 (трех) рабочих дней с даты соответственно изменения контракта, исполнения контракта, расторжения контракта, приемки поставленного товара, выполненной работы, оказанной услуги.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В течение 3 (трех) рабочих дней со дня заключения контракта, возникновения обязательств по закупкам, не требующих заключения контракта, содержащих сведения, составляющие государственную тайну, государственные (муниципальные) заказчики представляют указанные в пункте 2 настоящей статьи документы и информацию в исполнительный орган государственной власти, в ведении которого находятся вопросы планирования и исполнения бюджета, в порядке, установленном режимно-секретным делопроизводством.</w:t>
      </w:r>
    </w:p>
    <w:p>
      <w:pPr>
        <w:pStyle w:val="BodyTextoutside-table"/>
        <w:bidi w:val="0"/>
        <w:spacing w:before="0" w:after="283"/>
        <w:ind w:firstLine="709" w:left="0" w:right="0"/>
        <w:jc w:val="left"/>
        <w:outlineLvl w:val="1"/>
        <w:rPr/>
      </w:pPr>
      <w:r>
        <w:rPr>
          <w:rFonts w:ascii="times new roman;times" w:hAnsi="times new roman;times"/>
          <w:sz w:val="24"/>
        </w:rPr>
        <w:t xml:space="preserve">6. Закупки, документы и информация о которых не включены в реестр закупок государственных (муниципальных) заказчиков в соответствии </w:t>
      </w:r>
      <w:r>
        <w:rPr/>
        <w:br/>
      </w:r>
      <w:r>
        <w:rPr>
          <w:rFonts w:ascii="times new roman;times" w:hAnsi="times new roman;times"/>
          <w:sz w:val="24"/>
        </w:rPr>
        <w:t>с настоящей статьей, оплате не подлежат.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Ответственность за достоверность, своевременность и полноту представляемой информации, которая подлежит включению в реестр закупок, несет государственный (муниципальный) заказчик в соответствии с нормами законодательства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Органам контроля и (или) надзора для осуществления контрольных и (или) надзорных полномочий предоставляется доступ к базе данных реестра закупок государственных (муниципальных) заказчиков».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Пункт 9 статьи 61 исключить.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w:t>
      </w:r>
      <w:r>
        <w:rPr>
          <w:rFonts w:ascii="times new roman;times" w:hAnsi="times new roman;times"/>
          <w:sz w:val="24"/>
        </w:rPr>
        <w:t xml:space="preserve"> Настоящий Закон вступает в силу по истечении </w:t>
      </w:r>
      <w:r>
        <w:rPr/>
        <w:br/>
      </w:r>
      <w:r>
        <w:rPr>
          <w:rFonts w:ascii="times new roman;times" w:hAnsi="times new roman;times"/>
          <w:sz w:val="24"/>
        </w:rPr>
        <w:t>60 (шестидесяти) дней после дня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апреля 2024 г.</w:t>
      </w:r>
    </w:p>
    <w:p>
      <w:pPr>
        <w:pStyle w:val="BodyTextoutside-table"/>
        <w:bidi w:val="0"/>
        <w:spacing w:before="0" w:after="283"/>
        <w:ind w:firstLine="709" w:left="0" w:right="0"/>
        <w:jc w:val="left"/>
        <w:rPr/>
      </w:pPr>
      <w:r>
        <w:rPr/>
        <w:t xml:space="preserve">№ </w:t>
      </w:r>
      <w:r>
        <w:rPr>
          <w:rFonts w:ascii="times new roman;times" w:hAnsi="times new roman;times"/>
          <w:sz w:val="24"/>
        </w:rPr>
        <w:t>66-ЗИД-VII</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6%20%D0%BD%D0%BE%D1%8F%D0%B1%D1%80%D1%8F%202018%20%D0%B3%D0%BE%D0%B4%D0%B0%20%E2%84%96%20318-%D0%97-VI%20%C2%AB%D0%9E%20%D0%B7%D0%B0%D0%BA%D1%83%D0%BF%D0%BA%D0%B0%D1%85%20%D0%B2%20%D0%9F%D1%80%D0%B8%D0%B4%D0%BD%D0%B5%D1%81%D1%82%D1%80%D0%BE%D0%B2%D1%81%D0%BA%D0%BE%D0%B9%20%D0%9C%D0%BE%D0%BB%D0%B4%D0%B0%D0%B2%D1%81%D0%BA%D0%BE%D0%B9%20%D0%A0%D0%B5%D1%81%D0%BF%D1%83%D0%B1%D0%BB%D0%B8%D0%BA%D0%B5%C2%BB%20%28%D0%A1%D0%90%D0%97%2018-48%29" TargetMode="External"/><Relationship Id="rId6" Type="http://schemas.openxmlformats.org/officeDocument/2006/relationships/hyperlink" Target="documents/search/doc-link/?q=%D0%BE%D1%82%2027%20%D0%B4%D0%B5%D0%BA%D0%B0%D0%B1%D1%80%D1%8F%202019%20%D0%B3%D0%BE%D0%B4%D0%B0%20%E2%84%96%20258-%D0%97%D0%98%D0%94-VI%20%28%D0%A1%D0%90%D0%97%2019-50%29" TargetMode="External"/><Relationship Id="rId7" Type="http://schemas.openxmlformats.org/officeDocument/2006/relationships/hyperlink" Target="documents/search/doc-link/?q=%D0%BE%D1%82%207%20%D0%B8%D1%8E%D0%BB%D1%8F%202020%20%D0%B3%D0%BE%D0%B4%D0%B0%20%0A%E2%84%96%2083-%D0%97%D0%98%D0%94-VI%20%28%D0%A1%D0%90%D0%97%2020-28%29" TargetMode="External"/><Relationship Id="rId8" Type="http://schemas.openxmlformats.org/officeDocument/2006/relationships/hyperlink" Target="documents/search/doc-link/?q=%D0%BE%D1%82%2014%20%D0%B4%D0%B5%D0%BA%D0%B0%D0%B1%D1%80%D1%8F%202020%20%D0%B3%D0%BE%D0%B4%D0%B0%20%E2%84%96%20220-%D0%97%D0%98%D0%94-VI%20%0A%28%D0%A1%D0%90%D0%97%2020-51%29" TargetMode="External"/><Relationship Id="rId9" Type="http://schemas.openxmlformats.org/officeDocument/2006/relationships/hyperlink" Target="documents/search/doc-link/?q=%D0%BE%D1%82%2025%20%D1%84%D0%B5%D0%B2%D1%80%D0%B0%D0%BB%D1%8F%202021%20%D0%B3%D0%BE%D0%B4%D0%B0%20%E2%84%96%2015-%D0%97%D0%98%D0%94-VII%20%28%D0%A1%D0%90%D0%97%2021-8%29" TargetMode="External"/><Relationship Id="rId10" Type="http://schemas.openxmlformats.org/officeDocument/2006/relationships/hyperlink" Target="documents/search/doc-link/?q=%D0%BE%D1%82%2022%20%D0%BC%D0%B0%D1%80%D1%82%D0%B0%202021%20%D0%B3%D0%BE%D0%B4%D0%B0%20%E2%84%96%2043-%D0%97%D0%98%D0%94-VII%20%28%D0%A1%D0%90%D0%97%2021-12%29" TargetMode="External"/><Relationship Id="rId11" Type="http://schemas.openxmlformats.org/officeDocument/2006/relationships/hyperlink" Target="documents/search/doc-link/?q=%D0%BE%D1%82%207%20%D0%B8%D1%8E%D0%BB%D1%8F%202021%20%D0%B3%D0%BE%D0%B4%D0%B0%20%E2%84%96%20150-%D0%97%D0%98%D0%94-VII%20%28%D0%A1%D0%90%D0%97%2021-27%29" TargetMode="External"/><Relationship Id="rId12" Type="http://schemas.openxmlformats.org/officeDocument/2006/relationships/hyperlink" Target="documents/search/doc-link/?q=%D0%BE%D1%82%2026%20%D0%B8%D1%8E%D0%BB%D1%8F%202021%20%D0%B3%D0%BE%D0%B4%D0%B0%20%E2%84%96%20187-%D0%97%D0%98-VII%20%28%D0%A1%D0%90%D0%97%2021-30%29" TargetMode="External"/><Relationship Id="rId13" Type="http://schemas.openxmlformats.org/officeDocument/2006/relationships/hyperlink" Target="documents/search/doc-link/?q=%D0%BE%D1%82%2027%20%D0%B8%D1%8E%D0%BB%D1%8F%20%0A2021%20%D0%B3%D0%BE%D0%B4%D0%B0%20%E2%84%96%20200-%D0%97%D0%98%D0%94-VII%20%28%D0%A1%D0%90%D0%97%2021-30%29" TargetMode="External"/><Relationship Id="rId14" Type="http://schemas.openxmlformats.org/officeDocument/2006/relationships/hyperlink" Target="documents/search/doc-link/?q=%D0%BE%D1%82%2022%20%D0%BD%D0%BE%D1%8F%D0%B1%D1%80%D1%8F%202021%20%D0%B3%D0%BE%D0%B4%D0%B0%20%0A%E2%84%96%20286-%D0%97%D0%98%D0%94-VII%20%28%D0%A1%D0%90%D0%97%2021-47%29" TargetMode="External"/><Relationship Id="rId15" Type="http://schemas.openxmlformats.org/officeDocument/2006/relationships/hyperlink" Target="documents/search/doc-link/?q=%D0%BE%D1%82%2020%20%D0%B4%D0%B5%D0%BA%D0%B0%D0%B1%D1%80%D1%8F%202021%20%D0%B3%D0%BE%D0%B4%D0%B0%20%E2%84%96%20335-%D0%97%D0%98%D0%94-VII%20%0A%28%D0%A1%D0%90%D0%97%2021-51%29" TargetMode="External"/><Relationship Id="rId16" Type="http://schemas.openxmlformats.org/officeDocument/2006/relationships/hyperlink" Target="documents/search/doc-link/?q=%D0%BE%D1%82%2030%20%D0%B4%D0%B5%D0%BA%D0%B0%D0%B1%D1%80%D1%8F%202021%20%D0%B3%D0%BE%D0%B4%D0%B0%20%E2%84%96%20365-%D0%97%D0%98%D0%94-VII%20%28%D0%A1%D0%90%D0%97%2021-52%2C1%29" TargetMode="External"/><Relationship Id="rId17" Type="http://schemas.openxmlformats.org/officeDocument/2006/relationships/hyperlink" Target="documents/search/doc-link/?q=%D0%BE%D1%82%2013%20%D0%B8%D1%8E%D0%BB%D1%8F%202022%20%D0%B3%D0%BE%D0%B4%D0%B0%20%E2%84%96%20177-%D0%97%D0%98%D0%94-VII%20%28%D0%A1%D0%90%D0%97%2022-27%29" TargetMode="External"/><Relationship Id="rId18" Type="http://schemas.openxmlformats.org/officeDocument/2006/relationships/hyperlink" Target="documents/search/doc-link/?q=%D0%BE%D1%82%2025%20%D0%B8%D1%8E%D0%BB%D1%8F%202022%20%D0%B3%D0%BE%D0%B4%D0%B0%20%0A%E2%84%96%20201-%D0%97%D0%98-VII%20%28%D0%A1%D0%90%D0%97%2022-29%29" TargetMode="External"/><Relationship Id="rId19" Type="http://schemas.openxmlformats.org/officeDocument/2006/relationships/hyperlink" Target="documents/search/doc-link/?q=%D0%BE%D1%82%2029%20%D0%B8%D1%8E%D0%BB%D1%8F%202022%20%D0%B3%D0%BE%D0%B4%D0%B0%20%E2%84%96%20229-%D0%97%D0%98%D0%94-VII%20%0A%28%D0%A1%D0%90%D0%97%2022-29%29" TargetMode="External"/><Relationship Id="rId20" Type="http://schemas.openxmlformats.org/officeDocument/2006/relationships/hyperlink" Target="documents/search/doc-link/?q=%D0%BE%D1%82%2023%20%D0%B4%D0%B5%D0%BA%D0%B0%D0%B1%D1%80%D1%8F%202022%20%D0%B3%D0%BE%D0%B4%D0%B0%20%E2%84%96%20371-%D0%97%D0%94-VII%20%28%D0%A1%D0%90%D0%97%2022-50%29" TargetMode="External"/><Relationship Id="rId21" Type="http://schemas.openxmlformats.org/officeDocument/2006/relationships/hyperlink" Target="documents/search/doc-link/?q=%D0%BE%D1%82%2029%20%D0%B4%D0%B5%D0%BA%D0%B0%D0%B1%D1%80%D1%8F%202022%20%D0%B3%D0%BE%D0%B4%D0%B0%20%E2%84%96%20398-%D0%97%D0%98%D0%94-VII%20%28%D0%A1%D0%90%D0%97%2023-1%29" TargetMode="External"/><Relationship Id="rId22" Type="http://schemas.openxmlformats.org/officeDocument/2006/relationships/hyperlink" Target="documents/search/doc-link/?q=%D0%BE%D1%82%2016%20%D1%84%D0%B5%D0%B2%D1%80%D0%B0%D0%BB%D1%8F%202023%20%D0%B3%D0%BE%D0%B4%D0%B0%20%E2%84%96%2020-%D0%97%D0%98-VII%20%28%D0%A1%D0%90%D0%97%2023-7%2C1%29" TargetMode="External"/><Relationship Id="rId23" Type="http://schemas.openxmlformats.org/officeDocument/2006/relationships/hyperlink" Target="documents/search/doc-link/?q=%D0%BE%D1%82%2019%20%D0%B0%D0%BF%D1%80%D0%B5%D0%BB%D1%8F%202023%20%D0%B3%D0%BE%D0%B4%D0%B0%20%E2%84%96%2081-%D0%97%D0%98-VII%20%28%D0%A1%D0%90%D0%97%2023-16%29" TargetMode="External"/><Relationship Id="rId24" Type="http://schemas.openxmlformats.org/officeDocument/2006/relationships/hyperlink" Target="documents/search/doc-link/?q=%D0%BE%D1%82%2017%20%D0%B8%D1%8E%D0%BB%D1%8F%202023%20%D0%B3%D0%BE%D0%B4%D0%B0%20%E2%84%96%20231-%D0%97%D0%98-VII%20%28%D0%A1%D0%90%D0%97%2023-29%29" TargetMode="External"/><Relationship Id="rId25" Type="http://schemas.openxmlformats.org/officeDocument/2006/relationships/hyperlink" Target="documents/search/doc-link/?q=%D0%BE%D1%82%2017%20%D0%B8%D1%8E%D0%BB%D1%8F%202023%20%D0%B3%D0%BE%D0%B4%D0%B0%20%0A%E2%84%96%20232-%D0%97%D0%98-VII%20%28%D0%A1%D0%90%D0%97%2023-29%29" TargetMode="External"/><Relationship Id="rId26" Type="http://schemas.openxmlformats.org/officeDocument/2006/relationships/hyperlink" Target="documents/search/doc-link/?q=%D0%BE%D1%82%201%20%D0%B4%D0%B5%D0%BA%D0%B0%D0%B1%D1%80%D1%8F%202023%20%D0%B3%D0%BE%D0%B4%D0%B0%20%E2%84%96%20362-%D0%97%D0%94-VII%20%28%D0%A1%D0%90%D0%97%2023-48%29" TargetMode="External"/><Relationship Id="rId27" Type="http://schemas.openxmlformats.org/officeDocument/2006/relationships/hyperlink" Target="documents/search/doc-link/?q=%D0%BE%D1%82%207%20%D0%B4%D0%B5%D0%BA%D0%B0%D0%B1%D1%80%D1%8F%202023%20%D0%B3%D0%BE%D0%B4%D0%B0%20%E2%84%96%20368-%D0%97%D0%98%D0%94-VII%20%28%D0%A1%D0%90%D0%97%2023-49%29" TargetMode="External"/><Relationship Id="rId28" Type="http://schemas.openxmlformats.org/officeDocument/2006/relationships/hyperlink" Target="documents/search/doc-link/?q=%D0%BE%D1%82%2026%20%D0%B4%D0%B5%D0%BA%D0%B0%D0%B1%D1%80%D1%8F%202023%20%D0%B3%D0%BE%D0%B4%D0%B0%20%E2%84%96%20416-%D0%97%D0%98%D0%94-VII%20%28%D0%A1%D0%90%D0%97%2024-1%29" TargetMode="External"/><Relationship Id="rId29" Type="http://schemas.openxmlformats.org/officeDocument/2006/relationships/hyperlink" Target="documents/search/doc-link/?q=%D0%BE%D1%82%2012%20%D1%84%D0%B5%D0%B2%D1%80%D0%B0%D0%BB%D1%8F%202024%20%D0%B3%D0%BE%D0%B4%D0%B0%20%E2%84%96%2019-%D0%97%D0%98%D0%94-VII%20%0A%28%D0%A1%D0%90%D0%97%2024-8%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4</Pages>
  <Words>1435</Words>
  <Characters>10394</Characters>
  <CharactersWithSpaces>11851</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