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Закон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 Дорожном фонде Приднестровской Молдавской Республики»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4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29 сентября 2005 года № 630-З-III «О дорожных фондах в Приднестровской Молдавской Республике» (САЗ 05-40,1)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15 августа 2006 года № 76-ЗИД-IV (САЗ 06-34)</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14 декабря 2006 года 
№ 132-ЗИ-IV (САЗ 06-51)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20 июня 2007 года № 230-ЗД-IV (САЗ 07-26)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27 сентября 2007 года № 318-ЗИД-IV (САЗ 07-40)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26 сентября 2008 года № 541-ЗД-IV (САЗ 08-38)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26 сентября 2008 года № 550-ЗИД-IV (САЗ 08-38)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марта 2009 года № 681-ЗИ-IV (САЗ 09-13)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5 марта 2010 года № 33-ЗИД-IV (САЗ 10-9)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8 июля 2010 года № 118-ЗИ-IV 
(САЗ 10-27)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18 ноября 2010 года № 223-ЗИ-IV (САЗ 10-46)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октября 2011 года № 180-ЗИД-V (САЗ 11-41)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13 октября 2011 года № 182-ЗИ-V (САЗ 11-41)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июня 2013 года № 115-ЗИД-V (САЗ 13-23)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сентября 2013 года № 209-ЗИ-V (САЗ 13-38,1)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28 сентября 2013 года № 213-ЗИ-V (САЗ 13-38,1)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27 октября 2016 года № 238-ЗИ-VI (САЗ 16-43)</w:t>
        </w:r>
      </w:hyperlink>
      <w:r>
        <w:rPr>
          <w:rFonts w:ascii="times new roman;times" w:hAnsi="times new roman;times"/>
          <w:sz w:val="24"/>
        </w:rPr>
        <w:t xml:space="preserve">; </w:t>
      </w:r>
      <w:r>
        <w:rPr/>
        <w:t xml:space="preserve">
</w:t>
      </w:r>
      <w:hyperlink r:id="rId22">
        <w:r>
          <w:rPr>
            <w:rFonts w:ascii="times new roman;times" w:hAnsi="times new roman;times"/>
            <w:sz w:val="24"/>
            <w:color w:val="0563C1"/>
            <w:u w:val="single"/>
          </w:rPr>
          <w:t xml:space="preserve">от 30 ноября 2016 года № 255-ЗИ-VI (САЗ 16-48)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ноября 2016 года № 264-ЗИ-VI (САЗ 16-48)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 июля 2017 года № 203-ЗИД-VI (САЗ 17-28)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ноября 2017 года № 313-ЗИ-VI (САЗ 17-47)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18 декабря 2017 года № 354-ЗИ-VI (САЗ 17-52)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2017 года № 408-ЗИД-VI (САЗ 18-1,1)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 июля 2018 года № 203-ЗИД-VI (САЗ 18-27)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7 июня 
2019 года № 105-ЗИ-VI (САЗ 19-21)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27 июня 2019 года № 122-ЗИД-VI (САЗ 19-24)</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 августа 2019 года № 164-ЗД-VI (САЗ 19-29)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24 ноября 2020 года № 203-ЗИ-VI (САЗ 20-48)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9 июня 2021 года № 115-ЗИД-VII (САЗ 21-23)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декабря 2021 года № 353-ЗИ-VII (САЗ 21-52,1)</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26 декабря 2022 года № 377-ЗИ-VII (САЗ 23-1)</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2023 года № 62-ЗИ-VII (САЗ 23-13)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2023 года № 255-ЗИ-VII (САЗ 23-30)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2023 года № 284-ЗИД-VII (САЗ 23-39,1)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 декабря 2023 года № 363-ЗИ-VII (САЗ 23-48)</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30 мая 2024 года № 95-ЗИД-VII (САЗ 24-23)</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б) части первой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100 процентов от налога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5) подпункта в) части первой пункта 1 статьи 4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Подпункт г) части первой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100 процентов средств, поступающих от уплаты штрафов и возмещения ущерба за порчу автомобильных дорог, в том числе дорожных сооружений, являющихся их технологической частью, и насаждений вдоль автомобильных дорог».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Часть первую пункта 1 статьи 4 дополнить подпунктом д)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100 процентов акцизного сбора от реализации газа углеводородного сжиженного, используемого в качестве автомобильного топлива».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Часть вторую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Дорожный фонд также могут направляться средства от проведения займов, добровольных взносов и иных не запрещенных законодательными актами Приднестровской Молдавской Республики источников финансирования».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Часть третью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реализации статьи 5 настоящего Закона под транспортными средствами понимаются устройства, предназначенные для перевозки пассажиров (людей), грузов и (или) оборудования, установленного на них, а также устройства, предназначенные для выполнения определенных специализированных функций, буксировки или толкания других транспортных средств, передвижных устройств или грузов, в том числе: легковые автомобили, мотоциклы и мотороллеры, автобусы, грузовые автомобили, прицепы и полуприцепы, самоходные машины и механизмы на пневматическом ходу».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части второй статьи 4-1 слово «ежеквартальной» заменить словом «ежегодной».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 тексту части третьей статьи 4-1 слово «квартала» заменить словом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Статью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 Налог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Плательщиками налога с владельцев транспортных средств (далее в настоящей статье именуемые плательщиками) признаются:</w:t>
      </w:r>
    </w:p>
    <w:p>
      <w:pPr>
        <w:pStyle w:val="BodyTextoutside-table"/>
        <w:bidi w:val="0"/>
        <w:spacing w:before="0" w:after="283"/>
        <w:ind w:firstLine="709" w:left="0" w:right="0"/>
        <w:jc w:val="left"/>
        <w:rPr/>
      </w:pPr>
      <w:r>
        <w:rPr>
          <w:rFonts w:ascii="times new roman;times" w:hAnsi="times new roman;times"/>
          <w:sz w:val="24"/>
        </w:rPr>
        <w:t>а)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за которыми зарегистрированы транспортные средства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юридические лица, образованные в соответствии с законодательством Приднестровской Молдавской Республики или законодательством иностранных государств, филиалы и представительства указанных юридических лиц, осуществляющие деятельность по перевозке пассажиров и багажа, включая такси, которым физическими лицами предоставлены во временное владение и (или) пользование транспортные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Ставки налога с владельцев транспортных средств устанавливаются в соответствии с таблицей ставок согласно Приложению № 1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невозможности определения объема двигателя транспортного средства размер годового налога составляет 50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автомобильных колонн войскового типа к ставкам налога, предусмотренным Приложением № 1 к настоящему Закону, применяется коэффициент 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плательщиков, занимающихся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 налоге на доходы организаций», ставки налога определяются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 ставкам налога, предусмотренным пунктами 3 (автобусы), 4 (грузовые автомобили), 5 (прицепы и полуприцепы) таблицы ставок согласно Приложению № 1 к настоящему Закону, применяется коэффициент 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 ставкам налога, предусмотренным пунктом 6 (самоходные машины и механизмы на пневматическом ходу) таблицы ставок согласно Приложению № 1 к настоящему Закону, применяется коэффициент 0,1.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Объектом налогообложения являются транспортные средства, зарегистрированные в установленном порядке в соответствии с законодательством Приднестровской Молдавской Республики за плательщиками либо предоставленные плательщикам, указанным в подпункте б) части первой пункта 1 настоящей статьи, физическими лицами во временное владение и (или) пользование.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являются объектом налогообложения машины и механизмы (автокары, автопогрузчики, автогрейдеры, скреперы, экскаваторы, пресс-подборщики, электропогрузчики), используемые исключительно в пределах территории, принадлежащей плательщику.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Уплата налога производится: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регистрации вновь приобретенного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перерегистрации – в случае изменения владельцев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постановке на временный учет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ежегодно в сроки, не позднее установленных исполнительным органом государственной власти, в ведении которого находятся вопросы обеспечения безопасности дорожного движения, для проведения государственного технического осмотра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 подачи заявлений о выдаче дополнительных свидетельств о регистрации транспортного средства в связи с предоставлением физическими лицами плательщикам, указанным в подпункте б) части первой пункта 1 настоящей статьи, во временное владение и (или) пользование транспортных средств, а также в связи с расторжением указанных сделок.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возникновения в течение года у плательщиков права на льготу по налогу они освобождаются от уплаты этого налога начиная с того месяца, в котором возникло право на льготу.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утрате в течение года права на льготу обложение налогом производится начиная с месяца, следующего за утратой этого права.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Юридическим лицам, осуществляющим деятельность по перевозке пассажиров и багажа (перевозчикам), предоставляется право уплаты налога с владельцев транспортных средств за год (по транспортным средствам, осуществляющим регулярные перевозки пассажиров и багажа) не позднее 31 декабря текущего года. В течение года государственный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Регистрация, перерегистрация, постановка на временный учет или государственный технический осмотр транспортных средств, являющихся объектами налогообложения, указанными в пункте 2 настоящей статьи, без предъявления квитанции или платежного поручения об уплате налога не производятся, за исключением случая, предусмотренного частью четвертой пункта 3 настоящей статьи.</w:t>
      </w:r>
    </w:p>
    <w:p>
      <w:pPr>
        <w:pStyle w:val="BodyTextoutside-table"/>
        <w:bidi w:val="0"/>
        <w:spacing w:before="0" w:after="283"/>
        <w:ind w:firstLine="709" w:left="0" w:right="0"/>
        <w:jc w:val="left"/>
        <w:rPr/>
      </w:pPr>
      <w:r>
        <w:rPr>
          <w:rFonts w:ascii="times new roman;times" w:hAnsi="times new roman;times"/>
          <w:sz w:val="24"/>
        </w:rPr>
        <w:t xml:space="preserve">Плательщики предоставляют в налоговые органы по месту своего нахождения расчет по налогу с владельцев транспортных средств в срок до 25 декабря (включительно) текущего года по всем транспортным средствам, зарегистрированным в установленном порядке в соответствии с законодательством Приднестровской Молдавской Республики </w:t>
      </w:r>
      <w:r>
        <w:rPr/>
        <w:br/>
      </w:r>
      <w:r>
        <w:rPr>
          <w:rFonts w:ascii="times new roman;times" w:hAnsi="times new roman;times"/>
          <w:sz w:val="24"/>
        </w:rPr>
        <w:t>за плательщиками и (или) предоставленным плательщикам физическими лицами во временное владение и (или) пользование, и (или) снятым с учета в текущем году,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От уплаты налога освобождаются плательщики: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полностью финансируемые из бюджетов различных уровней, а также центральный банк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транспортным средствам, по которым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на срок от 12 (двенадцати) до 36 (тридцати шести) месяцев ввиду: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неиспользования соответствующих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использования указанных транспортных средств исключительно в пределах территории, принадлежащей плательщику.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применение льготы, предусмотренной настоящим подпунктом, возникает (либо прекращается) при наличии соответствующего акта исполнительного органа государственной власти, в ведении которого находятся вопросы обеспечения безопасности дорожного движения, о приеме на хранение либо возврате с хранения соответствующих государственных регистрационных знаков транспортных средств, основанного на приказе руководителя организации о постановке на хранение (снятии с хранения) соответствующих государственных регистрационных знаков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необходимости использования транспортного средства, государственные регистрационные знаки которого находятся на хранении в исполнительном органе государственной власти, в ведении которого находятся вопросы обеспечения безопасности дорожного движения, в срок, не достигший 12 (двенадцати) месяцев, организация обязана произвести доначисление налога с владельцев транспортных средств за период с 1 числа месяца, в котором осуществлена сдача государственных регистрационных знаков транспортных средств на хранение в исполнительный орган государственной власти, в ведении которого находятся вопросы обеспечения безопасности дорожного движения, до 1 числа месяца, в котором государственные регистрационные знаки транспортных средств получены с хранения в исполнительном органе государственной власти, в ведении которого находятся вопросы обеспечения безопасности дорожного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организации транспорта общего пользования, имеющие взаимоотношения с республиканским и (или) местными бюджетами по возмещению затрат, связанных с реализацией установленных законодательством Приднестровской Молдавской Республики льгот по проезду, и (или) получающие дотации (трансферты) из республиканского и (или) местных бюджетов на компенсацию убытков между затратами по расчетным тарифам и выручкой от платы за проезд, – по транспортным средствам, осуществляющим перевозки пассажиров и багажа транспортом общего пользования, при условии, что выручка от перевозки пассажиров и багажа составляет не менее 50 процентов от общей суммы дохода (выручки от реализации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(за исключением дотаций (трансфертов) из республиканского и (или) местных бюджетов на компенсацию убытков между затратами по расчетным тарифам и выручкой от платы за проезд), доходов от инвестиционной деятельности, доходов от финансовой деятельности), рассчитанной в целом за предыдущий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организации, производящие и реализующие собственную продукцию (за исключением подакцизной), выполняющие работы, оказывающие услуги, учрежденные обществами глухих и слепых, при условии, что численность инвалидов в этих организациях составляет не менее 50 процентов среднесписочной численности работников, – по транспортным средствам, используемым для выполнения уставной деятельности обществ;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общественные организации глухих и слепых, целью создания которых является защита интересов инвалидов, при условии, что численность членов инвалидов в этих организациях составляет не менее 80 процентов от числа участников, – по транспортным средствам, используемым для выполнения уставной деятельности обществ;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представительства иностранных государств в случаях, когда это предусмотрено международным договором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транспортным средствам, находящимся в розыске, а также транспортным средствам, розыск которых приостановлен. При этом право на льготу возникает с 1 числа месяца, в котором возбуждено уголовное дело по факту угона или хищения транспортного средства, и прекращается с 1 числа месяца, в котором данное транспортное средство возвращено плательщику, за которым оно зарегистрировано. Факты угона или хищения, возврата транспортного средства подтверждаются документом, выданным исполнительным органом государственной власти, в ведении которого находятся вопросы обеспечения безопасности дорожного движения, по утвержденной данным органом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Налог с владельцев транспортных средств исчисляется плательщиками самостоятельно исходя из количества транспортных средств, зарегистрированных в установленном порядке в соответствии с законодательством Приднестровской Молдавской Республики за плательщиками и (или) предоставленных плательщикам, указанным в подпункте б) части первой пункта 1 настоящей статьи, физическими лицами во временное владение и (или) пользование, и (или) снятых с учета в текущем году, исходя из их технических характеристик, предусмотренных таблицей ставок согласно Приложению № 1 к настоящему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Исчисление и уплата налога с владельцев транспортных средств осуществляются исходя из годовой суммы налога и количества месяцев фактического использования плательщиком транспортных средств в течение отчетного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начало (прекращение) периода фактического использования плательщиком транспортного средства принимается с первого числа месяца, в котором совершено одно (или несколько) из следующих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(списание)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приобретение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сдача (или получение) государственных регистрационных знаков транспортных средств на срок от 12 (двенадцати) до 36 (тридцати шести)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сделки по получению от физических лиц транспортных средств во временное владение и (или) пользование либо прекращению права в отношении предоставленных физическими лицами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Полное освобождение отдельных учреждений и организаций от уплаты налога с владельцев транспортных средств или понижение его размера может осуществляться в порядке, устанавливаемом Верховным Советом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Контроль за правильностью и полнотой исчисления налога с владельцев транспортных средств плательщиками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внесением налога с владельцев транспортных средств в бюджет осуществляется исполнительным органом государственной власти, в ведении которого находятся вопросы обеспечения безопасности дорожного движения,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рамках межведомственного взаимодействия».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части первой пункта 4 статьи 7 слово «Приложению» заменить словами «Приложению № 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9-2 дополнить пунктом 5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На 2025 год поправочный коэффициент, применяемый для корректировки расчетного уровня (РУ) устанавливается на уровне, сложившемся по состоянию на 1 января 2025 года, и подлежит последующей ежегодной корректировке в порядке, установленном статьей 4-1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Статью 9-2 дополнить пунктом 6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В 2025 году положения части пятой пункта 1 статьи 5 настоящего Закона в части  возможности применения коэффициентов к ставкам налога с владельцев транспортных средств применяются к плательщикам, занимающимся производством сельскохозяйственной продукции, имеющим по итогам предшествующего финансового года право на применение льготы, предусмотренной подпунктом а) пункта 2 статьи 6 Закона Приднестровской Молдавской Республики «О налоге на доходы организаций», а также к хозяйствующим субъектам вне зависимости от организационно-правовой формы и формы собственности, занимающимся производством сельскохозяйственной продукции, при условии, что выручка от реализации сельскохозяйственной продукции собственного производства и продуктов ее переработки за предшествующий финансовый год составляет не менее 70 процентов от общей суммы дохода (выручки от реализации сельскохозяйственной продукции, товаров (при этом сумма выручки от торговой деятельности организации принимается в виде показателя товарооборота), работ, услуг, других операционных доходов, доходов от инвестиционной деятельности, доходов от финансовой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Дополнить Закон Приложением № 1 «Ставки налога с владельцев транспортных средств» к Закону Приднестровской Молдавской Республики «О Дорожном фонде Приднестровской Молдавской Республики» в редакции согласно Приложению № 1 к настоящему Закону.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Приложение «СТАВКИ СБОРА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к Закону Приднестровской Молдавской Республики «О Дорожном фонде Приднестровской Молдавской Республики» изложить в редакции согласно Приложению № 2 к настоящему Закону.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320-ЗИД-VII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1%81%D0%B5%D0%BD%D1%82%D1%8F%D0%B1%D1%80%D1%8F%202005%20%D0%B3%D0%BE%D0%B4%D0%B0%20%E2%84%96%20630-%D0%97-III%20%C2%AB%D0%9E%20%D0%B4%D0%BE%D1%80%D0%BE%D0%B6%D0%BD%D1%8B%D1%85%20%D1%84%D0%BE%D0%BD%D0%B4%D0%B0%D1%85%20%D0%B2%20%D0%9F%D1%80%D0%B8%D0%B4%D0%BD%D0%B5%D1%81%D1%82%D1%80%D0%BE%D0%B2%D1%81%D0%BA%D0%BE%D0%B9%20%D0%9C%D0%BE%D0%BB%D0%B4%D0%B0%D0%B2%D1%81%D0%BA%D0%BE%D0%B9%20%D0%A0%D0%B5%D1%81%D0%BF%D1%83%D0%B1%D0%BB%D0%B8%D0%BA%D0%B5%C2%BB%20%28%D0%A1%D0%90%D0%97%2005-40%2C1%29" TargetMode="External"/><Relationship Id="rId6" Type="http://schemas.openxmlformats.org/officeDocument/2006/relationships/hyperlink" Target="documents/search/doc-link/?q=%D0%BE%D1%82%2015%20%D0%B0%D0%B2%D0%B3%D1%83%D1%81%D1%82%D0%B0%202006%20%D0%B3%D0%BE%D0%B4%D0%B0%20%E2%84%96%2076-%D0%97%D0%98%D0%94-IV%20%28%D0%A1%D0%90%D0%97%2006-34%29" TargetMode="External"/><Relationship Id="rId7" Type="http://schemas.openxmlformats.org/officeDocument/2006/relationships/hyperlink" Target="documents/search/doc-link/?q=%D0%BE%D1%82%2014%20%D0%B4%D0%B5%D0%BA%D0%B0%D0%B1%D1%80%D1%8F%202006%20%D0%B3%D0%BE%D0%B4%D0%B0%20%0A%E2%84%96%20132-%D0%97%D0%98-IV%20%28%D0%A1%D0%90%D0%97%2006-51%29" TargetMode="External"/><Relationship Id="rId8" Type="http://schemas.openxmlformats.org/officeDocument/2006/relationships/hyperlink" Target="documents/search/doc-link/?q=%D0%BE%D1%82%2020%20%D0%B8%D1%8E%D0%BD%D1%8F%202007%20%D0%B3%D0%BE%D0%B4%D0%B0%20%E2%84%96%20230-%D0%97%D0%94-IV%20%28%D0%A1%D0%90%D0%97%2007-26%29" TargetMode="External"/><Relationship Id="rId9" Type="http://schemas.openxmlformats.org/officeDocument/2006/relationships/hyperlink" Target="documents/search/doc-link/?q=%D0%BE%D1%82%2027%20%D1%81%D0%B5%D0%BD%D1%82%D1%8F%D0%B1%D1%80%D1%8F%202007%20%D0%B3%D0%BE%D0%B4%D0%B0%20%E2%84%96%20318-%D0%97%D0%98%D0%94-IV%20%28%D0%A1%D0%90%D0%97%2007-40%29" TargetMode="External"/><Relationship Id="rId10" Type="http://schemas.openxmlformats.org/officeDocument/2006/relationships/hyperlink" Target="documents/search/doc-link/?q=%D0%BE%D1%82%2026%20%D1%81%D0%B5%D0%BD%D1%82%D1%8F%D0%B1%D1%80%D1%8F%C2%A02008%20%D0%B3%D0%BE%D0%B4%D0%B0%20%E2%84%96%20541-%D0%97%D0%94-IV%20%28%D0%A1%D0%90%D0%97%2008-38%29" TargetMode="External"/><Relationship Id="rId11" Type="http://schemas.openxmlformats.org/officeDocument/2006/relationships/hyperlink" Target="documents/search/doc-link/?q=%D0%BE%D1%82%2026%20%D1%81%D0%B5%D0%BD%D1%82%D1%8F%D0%B1%D1%80%D1%8F%202008%20%D0%B3%D0%BE%D0%B4%D0%B0%20%E2%84%96%20550-%D0%97%D0%98%D0%94-IV%20%28%D0%A1%D0%90%D0%97%2008-38%29" TargetMode="External"/><Relationship Id="rId12" Type="http://schemas.openxmlformats.org/officeDocument/2006/relationships/hyperlink" Target="documents/search/doc-link/?q=%D0%BE%D1%82%2023%20%D0%BC%D0%B0%D1%80%D1%82%D0%B0%202009%20%D0%B3%D0%BE%D0%B4%D0%B0%20%E2%84%96%20681-%D0%97%D0%98-IV%20%28%D0%A1%D0%90%D0%97%2009-13%29" TargetMode="External"/><Relationship Id="rId13" Type="http://schemas.openxmlformats.org/officeDocument/2006/relationships/hyperlink" Target="documents/search/doc-link/?q=%D0%BE%D1%82%205%20%D0%BC%D0%B0%D1%80%D1%82%D0%B0%C2%A02010%20%D0%B3%D0%BE%D0%B4%D0%B0%20%E2%84%96%2033-%D0%97%D0%98%D0%94-IV%20%28%D0%A1%D0%90%D0%97%2010-9%29" TargetMode="External"/><Relationship Id="rId14" Type="http://schemas.openxmlformats.org/officeDocument/2006/relationships/hyperlink" Target="documents/search/doc-link/?q=%D0%BE%D1%82%208%20%D0%B8%D1%8E%D0%BB%D1%8F%202010%20%D0%B3%D0%BE%D0%B4%D0%B0%20%E2%84%96%20118-%D0%97%D0%98-IV%20%0A%28%D0%A1%D0%90%D0%97%2010-27%29" TargetMode="External"/><Relationship Id="rId15" Type="http://schemas.openxmlformats.org/officeDocument/2006/relationships/hyperlink" Target="documents/search/doc-link/?q=%D0%BE%D1%82%2018%20%D0%BD%D0%BE%D1%8F%D0%B1%D1%80%D1%8F%202010%20%D0%B3%D0%BE%D0%B4%D0%B0%20%E2%84%96%20223-%D0%97%D0%98-IV%20%28%D0%A1%D0%90%D0%97%2010-46%29" TargetMode="External"/><Relationship Id="rId16" Type="http://schemas.openxmlformats.org/officeDocument/2006/relationships/hyperlink" Target="documents/search/doc-link/?q=%D0%BE%D1%82%2012%20%D0%BE%D0%BA%D1%82%D1%8F%D0%B1%D1%80%D1%8F%202011%20%D0%B3%D0%BE%D0%B4%D0%B0%20%E2%84%96%20180-%D0%97%D0%98%D0%94-V%20%28%D0%A1%D0%90%D0%97%2011-41%29" TargetMode="External"/><Relationship Id="rId17" Type="http://schemas.openxmlformats.org/officeDocument/2006/relationships/hyperlink" Target="documents/search/doc-link/?q=%D0%BE%D1%82%2013%20%D0%BE%D0%BA%D1%82%D1%8F%D0%B1%D1%80%D1%8F%202011%20%D0%B3%D0%BE%D0%B4%D0%B0%20%E2%84%96%20182-%D0%97%D0%98-V%20%28%D0%A1%D0%90%D0%97%2011-41%29" TargetMode="External"/><Relationship Id="rId18" Type="http://schemas.openxmlformats.org/officeDocument/2006/relationships/hyperlink" Target="documents/search/doc-link/?q=%D0%BE%D1%82%2012%20%D0%B8%D1%8E%D0%BD%D1%8F%202013%20%D0%B3%D0%BE%D0%B4%D0%B0%20%E2%84%96%20115-%D0%97%D0%98%D0%94-V%20%28%D0%A1%D0%90%D0%97%2013-23%29" TargetMode="External"/><Relationship Id="rId19" Type="http://schemas.openxmlformats.org/officeDocument/2006/relationships/hyperlink" Target="documents/search/doc-link/?q=%D0%BE%D1%82%2028%20%D1%81%D0%B5%D0%BD%D1%82%D1%8F%D0%B1%D1%80%D1%8F%202013%20%D0%B3%D0%BE%D0%B4%D0%B0%20%E2%84%96%20209-%D0%97%D0%98-V%20%28%D0%A1%D0%90%D0%97%2013-38%2C1%29" TargetMode="External"/><Relationship Id="rId20" Type="http://schemas.openxmlformats.org/officeDocument/2006/relationships/hyperlink" Target="documents/search/doc-link/?q=%D0%BE%D1%82%2028%20%D1%81%D0%B5%D0%BD%D1%82%D1%8F%D0%B1%D1%80%D1%8F%202013%20%D0%B3%D0%BE%D0%B4%D0%B0%20%E2%84%96%20213-%D0%97%D0%98-V%20%28%D0%A1%D0%90%D0%97%2013-38%2C1%29" TargetMode="External"/><Relationship Id="rId21" Type="http://schemas.openxmlformats.org/officeDocument/2006/relationships/hyperlink" Target="documents/search/doc-link/?q=%D0%BE%D1%82%2027%20%D0%BE%D0%BA%D1%82%D1%8F%D0%B1%D1%80%D1%8F%202016%20%D0%B3%D0%BE%D0%B4%D0%B0%20%E2%84%96%20238-%D0%97%D0%98-VI%20%28%D0%A1%D0%90%D0%97%2016-43%29" TargetMode="External"/><Relationship Id="rId22" Type="http://schemas.openxmlformats.org/officeDocument/2006/relationships/hyperlink" Target="documents/search/doc-link/?q=%D0%BE%D1%82%2030%20%D0%BD%D0%BE%D1%8F%D0%B1%D1%80%D1%8F%202016%20%D0%B3%D0%BE%D0%B4%D0%B0%20%E2%84%96%20255-%D0%97%D0%98-VI%20%28%D0%A1%D0%90%D0%97%2016-48%29" TargetMode="External"/><Relationship Id="rId23" Type="http://schemas.openxmlformats.org/officeDocument/2006/relationships/hyperlink" Target="documents/search/doc-link/?q=%D0%BE%D1%82%2030%20%D0%BD%D0%BE%D1%8F%D0%B1%D1%80%D1%8F%202016%20%D0%B3%D0%BE%D0%B4%D0%B0%C2%A0%E2%84%96%20264-%D0%97%D0%98-VI%20%28%D0%A1%D0%90%D0%97%2016-48%29" TargetMode="External"/><Relationship Id="rId24" Type="http://schemas.openxmlformats.org/officeDocument/2006/relationships/hyperlink" Target="documents/search/doc-link/?q=%D0%BE%D1%82%203%20%D0%B8%D1%8E%D0%BB%D1%8F%202017%20%D0%B3%D0%BE%D0%B4%D0%B0%20%E2%84%96%20203-%D0%97%D0%98%D0%94-VI%20%28%D0%A1%D0%90%D0%97%2017-28%29" TargetMode="External"/><Relationship Id="rId25" Type="http://schemas.openxmlformats.org/officeDocument/2006/relationships/hyperlink" Target="documents/search/doc-link/?q=%D0%BE%D1%82%2016%20%D0%BD%D0%BE%D1%8F%D0%B1%D1%80%D1%8F%202017%20%D0%B3%D0%BE%D0%B4%D0%B0%20%E2%84%96%20313-%D0%97%D0%98-VI%20%28%D0%A1%D0%90%D0%97%2017-47%29" TargetMode="External"/><Relationship Id="rId26" Type="http://schemas.openxmlformats.org/officeDocument/2006/relationships/hyperlink" Target="documents/search/doc-link/?q=%D0%BE%D1%82%2018%20%D0%B4%D0%B5%D0%BA%D0%B0%D0%B1%D1%80%D1%8F%202017%20%D0%B3%D0%BE%D0%B4%D0%B0%C2%A0%E2%84%96%20354-%D0%97%D0%98-VI%20%28%D0%A1%D0%90%D0%97%2017-52%29" TargetMode="External"/><Relationship Id="rId27" Type="http://schemas.openxmlformats.org/officeDocument/2006/relationships/hyperlink" Target="documents/search/doc-link/?q=%D0%BE%D1%82%2029%20%D0%B4%D0%B5%D0%BA%D0%B0%D0%B1%D1%80%D1%8F%202017%20%D0%B3%D0%BE%D0%B4%D0%B0%20%E2%84%96%20408-%D0%97%D0%98%D0%94-VI%C2%A0%28%D0%A1%D0%90%D0%97%2018-1%2C1%29" TargetMode="External"/><Relationship Id="rId28" Type="http://schemas.openxmlformats.org/officeDocument/2006/relationships/hyperlink" Target="documents/search/doc-link/?q=%D0%BE%D1%82%202%20%D0%B8%D1%8E%D0%BB%D1%8F%202018%20%D0%B3%D0%BE%D0%B4%D0%B0%20%E2%84%96%20203-%D0%97%D0%98%D0%94-VI%20%28%D0%A1%D0%90%D0%97%2018-27%29" TargetMode="External"/><Relationship Id="rId29" Type="http://schemas.openxmlformats.org/officeDocument/2006/relationships/hyperlink" Target="documents/search/doc-link/?q=%D0%BE%D1%82%207%20%D0%B8%D1%8E%D0%BD%D1%8F%20%0A2019%20%D0%B3%D0%BE%D0%B4%D0%B0%20%E2%84%96%20105-%D0%97%D0%98-VI%20%28%D0%A1%D0%90%D0%97%2019-21%29" TargetMode="External"/><Relationship Id="rId30" Type="http://schemas.openxmlformats.org/officeDocument/2006/relationships/hyperlink" Target="documents/search/doc-link/?q=%D0%BE%D1%82%2027%20%D0%B8%D1%8E%D0%BD%D1%8F%202019%20%D0%B3%D0%BE%D0%B4%D0%B0%20%E2%84%96%20122-%D0%97%D0%98%D0%94-VI%C2%A0%28%D0%A1%D0%90%D0%97%2019-24%29" TargetMode="External"/><Relationship Id="rId31" Type="http://schemas.openxmlformats.org/officeDocument/2006/relationships/hyperlink" Target="documents/search/doc-link/?q=%D0%BE%D1%82%201%20%D0%B0%D0%B2%D0%B3%D1%83%D1%81%D1%82%D0%B0%202019%20%D0%B3%D0%BE%D0%B4%D0%B0%20%E2%84%96%20164-%D0%97%D0%94-VI%20%28%D0%A1%D0%90%D0%97%2019-29%29" TargetMode="External"/><Relationship Id="rId32" Type="http://schemas.openxmlformats.org/officeDocument/2006/relationships/hyperlink" Target="documents/search/doc-link/?q=%D0%BE%D1%82%2024%20%D0%BD%D0%BE%D1%8F%D0%B1%D1%80%D1%8F%202020%20%D0%B3%D0%BE%D0%B4%D0%B0%20%E2%84%96%20203-%D0%97%D0%98-VI%20%28%D0%A1%D0%90%D0%97%2020-48%29" TargetMode="External"/><Relationship Id="rId33" Type="http://schemas.openxmlformats.org/officeDocument/2006/relationships/hyperlink" Target="documents/search/doc-link/?q=%D0%BE%D1%82%2030%20%D0%B4%D0%B5%D0%BA%D0%B0%D0%B1%D1%80%D1%8F%202020%20%D0%B3%D0%BE%D0%B4%D0%B0%20%E2%84%96%20245-%D0%97%D0%98%D0%94-VII%20%28%D0%A1%D0%90%D0%97%2021-1%2C1%29" TargetMode="External"/><Relationship Id="rId34" Type="http://schemas.openxmlformats.org/officeDocument/2006/relationships/hyperlink" Target="documents/search/doc-link/?q=%D0%BE%D1%82%209%20%D0%B8%D1%8E%D0%BD%D1%8F%202021%20%D0%B3%D0%BE%D0%B4%D0%B0%20%E2%84%96%20115-%D0%97%D0%98%D0%94-VII%20%28%D0%A1%D0%90%D0%97%2021-23%29" TargetMode="External"/><Relationship Id="rId35" Type="http://schemas.openxmlformats.org/officeDocument/2006/relationships/hyperlink" Target="documents/search/doc-link/?q=%D0%BE%D1%82%2028%20%D0%B4%D0%B5%D0%BA%D0%B0%D0%B1%D1%80%D1%8F%202021%20%D0%B3%D0%BE%D0%B4%D0%B0%20%E2%84%96%20353-%D0%97%D0%98-VII%20%28%D0%A1%D0%90%D0%97%2021-52%2C1%29" TargetMode="External"/><Relationship Id="rId36" Type="http://schemas.openxmlformats.org/officeDocument/2006/relationships/hyperlink" Target="documents/search/doc-link/?q=%D0%BE%D1%82%2026%20%D0%B4%D0%B5%D0%BA%D0%B0%D0%B1%D1%80%D1%8F%202022%20%D0%B3%D0%BE%D0%B4%D0%B0%20%E2%84%96%20377-%D0%97%D0%98-VII%20%28%D0%A1%D0%90%D0%97%2023-1%29" TargetMode="External"/><Relationship Id="rId37" Type="http://schemas.openxmlformats.org/officeDocument/2006/relationships/hyperlink" Target="documents/search/doc-link/?q=%D0%BE%D1%82%2030%20%D0%BC%D0%B0%D1%80%D1%82%D0%B0%202023%20%D0%B3%D0%BE%D0%B4%D0%B0%20%E2%84%96%2062-%D0%97%D0%98-VII%20%28%D0%A1%D0%90%D0%97%2023-13%29" TargetMode="External"/><Relationship Id="rId38" Type="http://schemas.openxmlformats.org/officeDocument/2006/relationships/hyperlink" Target="documents/search/doc-link/?q=%D0%BE%D1%82%2025%20%D0%B8%D1%8E%D0%BB%D1%8F%C2%A02023%20%D0%B3%D0%BE%D0%B4%D0%B0%20%E2%84%96%20255-%D0%97%D0%98-VII%20%28%D0%A1%D0%90%D0%97%2023-30%29" TargetMode="External"/><Relationship Id="rId39" Type="http://schemas.openxmlformats.org/officeDocument/2006/relationships/hyperlink" Target="documents/search/doc-link/?q=%D0%BE%D1%82%2027%20%D1%81%D0%B5%D0%BD%D1%82%D1%8F%D0%B1%D1%80%D1%8F%202023%20%D0%B3%D0%BE%D0%B4%D0%B0%20%E2%84%96%20284-%D0%97%D0%98%D0%94-VII%20%28%D0%A1%D0%90%D0%97%2023-39%2C1%29" TargetMode="External"/><Relationship Id="rId40" Type="http://schemas.openxmlformats.org/officeDocument/2006/relationships/hyperlink" Target="documents/search/doc-link/?q=%D0%BE%D1%82%201%20%D0%B4%D0%B5%D0%BA%D0%B0%D0%B1%D1%80%D1%8F%202023%20%D0%B3%D0%BE%D0%B4%D0%B0%20%E2%84%96%20363-%D0%97%D0%98-VII%20%28%D0%A1%D0%90%D0%97%2023-48%29" TargetMode="External"/><Relationship Id="rId41" Type="http://schemas.openxmlformats.org/officeDocument/2006/relationships/hyperlink" Target="documents/search/doc-link/?q=%D0%BE%D1%82%2030%20%D0%BC%D0%B0%D1%8F%202024%20%D0%B3%D0%BE%D0%B4%D0%B0%20%E2%84%96%2095-%D0%97%D0%98%D0%94-VII%20%28%D0%A1%D0%90%D0%97%2024-2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2421</Words>
  <Characters>16681</Characters>
  <CharactersWithSpaces>19076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