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дополнения</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10 августа 2018 года № 281</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 деятельности</w:t>
      </w:r>
    </w:p>
    <w:p>
      <w:pPr>
        <w:pStyle w:val="BodyTextoutside-table"/>
        <w:bidi w:val="0"/>
        <w:spacing w:before="0" w:after="283"/>
        <w:ind w:firstLine="709" w:left="0" w:right="0"/>
        <w:jc w:val="center"/>
        <w:rPr/>
      </w:pPr>
      <w:r>
        <w:rPr>
          <w:rStyle w:val="Strong"/>
          <w:rFonts w:ascii="times new roman;times" w:hAnsi="times new roman;times"/>
          <w:sz w:val="24"/>
        </w:rPr>
        <w:t>по разработке, производству, распространению шифровальных (криптографических) средств, информационных систем</w:t>
      </w:r>
    </w:p>
    <w:p>
      <w:pPr>
        <w:pStyle w:val="BodyTextoutside-table"/>
        <w:bidi w:val="0"/>
        <w:spacing w:before="0" w:after="283"/>
        <w:ind w:firstLine="709" w:left="0" w:right="0"/>
        <w:jc w:val="center"/>
        <w:rPr/>
      </w:pPr>
      <w:r>
        <w:rPr>
          <w:rStyle w:val="Strong"/>
          <w:rFonts w:ascii="times new roman;times" w:hAnsi="times new roman;times"/>
          <w:sz w:val="24"/>
        </w:rPr>
        <w:t>и телекоммуникационных систем, защищенных с использованием шифровальных (криптографических) средств, выполнению работ,</w:t>
      </w:r>
    </w:p>
    <w:p>
      <w:pPr>
        <w:pStyle w:val="BodyTextoutside-table"/>
        <w:bidi w:val="0"/>
        <w:spacing w:before="0" w:after="283"/>
        <w:ind w:firstLine="709" w:left="0" w:right="0"/>
        <w:jc w:val="center"/>
        <w:rPr/>
      </w:pPr>
      <w:r>
        <w:rPr>
          <w:rStyle w:val="Strong"/>
          <w:rFonts w:ascii="times new roman;times" w:hAnsi="times new roman;times"/>
          <w:sz w:val="24"/>
        </w:rPr>
        <w:t>оказанию услуг в области шифрования информации,</w:t>
      </w:r>
    </w:p>
    <w:p>
      <w:pPr>
        <w:pStyle w:val="BodyTextoutside-table"/>
        <w:bidi w:val="0"/>
        <w:spacing w:before="0" w:after="283"/>
        <w:ind w:firstLine="709" w:left="0" w:right="0"/>
        <w:jc w:val="center"/>
        <w:rPr/>
      </w:pPr>
      <w:r>
        <w:rPr>
          <w:rStyle w:val="Strong"/>
          <w:rFonts w:ascii="times new roman;times" w:hAnsi="times new roman;times"/>
          <w:sz w:val="24"/>
        </w:rPr>
        <w:t>техническому обслуживанию шифровальных</w:t>
      </w:r>
    </w:p>
    <w:p>
      <w:pPr>
        <w:pStyle w:val="BodyTextoutside-table"/>
        <w:bidi w:val="0"/>
        <w:spacing w:before="0" w:after="283"/>
        <w:ind w:firstLine="709" w:left="0" w:right="0"/>
        <w:jc w:val="center"/>
        <w:rPr/>
      </w:pPr>
      <w:r>
        <w:rPr>
          <w:rStyle w:val="Strong"/>
          <w:rFonts w:ascii="times new roman;times" w:hAnsi="times new roman;times"/>
          <w:sz w:val="24"/>
        </w:rPr>
        <w:t>(криптографических) средств, информационных систем</w:t>
      </w:r>
    </w:p>
    <w:p>
      <w:pPr>
        <w:pStyle w:val="BodyTextoutside-table"/>
        <w:bidi w:val="0"/>
        <w:spacing w:before="0" w:after="283"/>
        <w:ind w:firstLine="709" w:left="0" w:right="0"/>
        <w:jc w:val="center"/>
        <w:rPr/>
      </w:pPr>
      <w:r>
        <w:rPr>
          <w:rStyle w:val="Strong"/>
          <w:rFonts w:ascii="times new roman;times" w:hAnsi="times new roman;times"/>
          <w:sz w:val="24"/>
        </w:rPr>
        <w:t>и телекоммуникационных систем,</w:t>
      </w:r>
    </w:p>
    <w:p>
      <w:pPr>
        <w:pStyle w:val="BodyTextoutside-table"/>
        <w:bidi w:val="0"/>
        <w:spacing w:before="0" w:after="283"/>
        <w:ind w:firstLine="709" w:left="0" w:right="0"/>
        <w:jc w:val="center"/>
        <w:rPr/>
      </w:pPr>
      <w:r>
        <w:rPr>
          <w:rStyle w:val="Strong"/>
          <w:rFonts w:ascii="times new roman;times" w:hAnsi="times new roman;times"/>
          <w:sz w:val="24"/>
        </w:rPr>
        <w:t>защищенных с использованием шифровальных</w:t>
      </w:r>
    </w:p>
    <w:p>
      <w:pPr>
        <w:pStyle w:val="BodyTextoutside-table"/>
        <w:bidi w:val="0"/>
        <w:spacing w:before="0" w:after="283"/>
        <w:ind w:firstLine="709" w:left="0" w:right="0"/>
        <w:jc w:val="center"/>
        <w:rPr/>
      </w:pPr>
      <w:r>
        <w:rPr>
          <w:rStyle w:val="Strong"/>
          <w:rFonts w:ascii="times new roman;times" w:hAnsi="times new roman;times"/>
          <w:sz w:val="24"/>
        </w:rPr>
        <w:t>(криптографических) средств»</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5">
        <w:r>
          <w:rPr>
            <w:rFonts w:ascii="times new roman;times" w:hAnsi="times new roman;times"/>
            <w:sz w:val="24"/>
            <w:color w:val="0563C1"/>
            <w:u w:val="single"/>
          </w:rPr>
          <w:t xml:space="preserve">от 10 августа 2018 года № 281</w:t>
        </w:r>
      </w:hyperlink>
      <w:r>
        <w:rPr>
          <w:rFonts w:ascii="times new roman;times" w:hAnsi="times new roman;times"/>
          <w:sz w:val="24"/>
        </w:rPr>
        <w:t xml:space="preserve"> «Об утверждении Положения </w:t>
      </w:r>
      <w:r>
        <w:rPr/>
        <w:t xml:space="preserve">
</w:t>
      </w:r>
      <w:r>
        <w:rPr>
          <w:rFonts w:ascii="times new roman;times" w:hAnsi="times new roman;times"/>
          <w:sz w:val="24"/>
        </w:rPr>
        <w:t xml:space="preserve">о лицензировании деятельности по разработке, производству, распространению шифровальных (криптографических) средств, информационных систем </w:t>
      </w:r>
      <w:r>
        <w:rPr/>
        <w:t xml:space="preserve">
</w:t>
      </w:r>
      <w:r>
        <w:rPr>
          <w:rFonts w:ascii="times new roman;times" w:hAnsi="times new roman;times"/>
          <w:sz w:val="24"/>
        </w:rPr>
        <w:t xml:space="preserve">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w:t>
      </w:r>
      <w:r>
        <w:rPr/>
        <w:t xml:space="preserve">
</w:t>
      </w:r>
      <w:r>
        <w:rPr>
          <w:rFonts w:ascii="times new roman;times" w:hAnsi="times new roman;times"/>
          <w:sz w:val="24"/>
        </w:rPr>
        <w:t xml:space="preserve">и телекоммуникационных систем, защищенных с использованием шифровальных (криптографических) средств» (САЗ 18-32) с изменениями </w:t>
      </w:r>
      <w:r>
        <w:rPr/>
        <w:t xml:space="preserve">
</w:t>
      </w:r>
      <w:r>
        <w:rPr>
          <w:rFonts w:ascii="times new roman;times" w:hAnsi="times new roman;times"/>
          <w:sz w:val="24"/>
        </w:rPr>
        <w:t xml:space="preserve">и дополнениями, внесенными постановлениями Правительства Приднестровской Молдавской Республики </w:t>
      </w:r>
      <w:hyperlink r:id="rId26">
        <w:r>
          <w:rPr>
            <w:rFonts w:ascii="times new roman;times" w:hAnsi="times new roman;times"/>
            <w:sz w:val="24"/>
            <w:color w:val="0563C1"/>
            <w:u w:val="single"/>
          </w:rPr>
          <w:t xml:space="preserve">от 28 декабря 2021 года № 409 
(САЗ 21-52)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4 апреля 2022 года № 110 (САЗ 22-13)</w:t>
        </w:r>
      </w:hyperlink>
      <w:r>
        <w:rPr>
          <w:rFonts w:ascii="times new roman;times" w:hAnsi="times new roman;times"/>
          <w:sz w:val="24"/>
        </w:rPr>
        <w:t xml:space="preserve">, следующие изменения </w:t>
      </w:r>
      <w:r>
        <w:rPr/>
        <w:t xml:space="preserve">
</w:t>
      </w:r>
      <w:r>
        <w:rPr>
          <w:rFonts w:ascii="times new roman;times" w:hAnsi="times new roman;times"/>
          <w:sz w:val="24"/>
        </w:rPr>
        <w:t xml:space="preserve">и дополнение: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часть вторую пункта 11 Приложения к Постановлению после слова «письменной» дополнить словами «либо электронной»;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б) часть вторую пункта 12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«Лицензионный сбор за выдачу лицензии взимается в следующем размере, если срок, на который выдана лицензия, составляет: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5 (пять) лет – в размере 400 (четырехсот)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 5 (пяти) до 10 (десяти) лет – в размере 800 (восьмисот) расчетных уровней минимальной заработной платы;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свыше 10 (десяти) лет, в том числе бессрочно, – в размере 1 000 (одной тысячи) расчетных уровней минимальной заработной платы»;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части первую и вторую пункта 15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«Срок действия лицензии определяется по заявлению соискателя лицензии (лицензиата) и не может быть менее 5 (пяти) лет.</w:t>
      </w:r>
    </w:p>
    <w:p>
      <w:pPr>
        <w:pStyle w:val="BodyTextoutside-table"/>
        <w:bidi w:val="0"/>
        <w:spacing w:before="0" w:after="283"/>
        <w:ind w:firstLine="709" w:left="0" w:right="0"/>
        <w:jc w:val="left"/>
        <w:rPr/>
      </w:pPr>
      <w:r>
        <w:rPr>
          <w:rFonts w:ascii="times new roman;times" w:hAnsi="times new roman;times"/>
          <w:sz w:val="24"/>
        </w:rPr>
        <w:t xml:space="preserve">Срок действия лицензии по его окончании может быть продлен </w:t>
      </w:r>
      <w:r>
        <w:rPr/>
        <w:br/>
      </w:r>
      <w:r>
        <w:rPr>
          <w:rFonts w:ascii="times new roman;times" w:hAnsi="times new roman;times"/>
          <w:sz w:val="24"/>
        </w:rPr>
        <w:t>по заявлению лицензиата. Продление срока действия лицензии осуществляется в порядке ее переоформления»;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пункт 19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«19. В случае преобразования юридического лица, изменения его наименования или места его нахождения,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8">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или его правопреемник обязан в течение 30 (тридцати) рабочих дней подать в лицензирующий орган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лицензиат или его правопреемник, в случае преобразования юридического лица, вправе осуществлять деятельность на основании ранее выданной лицензии, но не более 30 (тридцати) дней со дня его регистрации»;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д) в пункте 20 Приложения к Постановлению словесно-цифровое обозначение «10 (десяти)» заменить словесно-цифровым обозначением </w:t>
      </w:r>
      <w:r>
        <w:rPr/>
        <w:br/>
      </w:r>
      <w:r>
        <w:rPr>
          <w:rFonts w:ascii="times new roman;times" w:hAnsi="times new roman;times"/>
          <w:sz w:val="24"/>
        </w:rPr>
        <w:t>«30 (тридцати)»;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пункт 21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«21. При намерении лицензиата продлить срок лицензии лицензиат </w:t>
      </w:r>
      <w:r>
        <w:rPr/>
        <w:br/>
      </w:r>
      <w:r>
        <w:rPr>
          <w:rFonts w:ascii="times new roman;times" w:hAnsi="times new roman;times"/>
          <w:sz w:val="24"/>
        </w:rPr>
        <w:t xml:space="preserve">в течение 30 (тридцати) рабочих дней до дня окончания срока действия лицензии обязан представить документы, подтверждающие право </w:t>
      </w:r>
      <w:r>
        <w:rPr/>
        <w:br/>
      </w:r>
      <w:r>
        <w:rPr>
          <w:rFonts w:ascii="times new roman;times" w:hAnsi="times new roman;times"/>
          <w:sz w:val="24"/>
        </w:rPr>
        <w:t>на осуществление лицензируемого вида деятельности, согласно исчерпывающему перечню документов по соответствующему виду деятельности. В ином случае продление срока действия лицензии осуществляется в порядке, установленном для выдачи новой лицензии. При продлении срока действия лицензия выдается не ранее, чем в последний рабочий день действия ранее выданной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0%20%D0%B0%D0%B2%D0%B3%D1%83%D1%81%D1%82%D0%B0%202018%20%D0%B3%D0%BE%D0%B4%D0%B0%20%E2%84%96%20281"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28%20%D0%B4%D0%B5%D0%BA%D0%B0%D0%B1%D1%80%D1%8F%202021%20%D0%B3%D0%BE%D0%B4%D0%B0%20%E2%84%96%20409%20%0A%28%D0%A1%D0%90%D0%97%2021-52%29" TargetMode="External"/><Relationship Id="rId27" Type="http://schemas.openxmlformats.org/officeDocument/2006/relationships/hyperlink" Target="documents/search/doc-link/?q=%D0%BE%D1%82%204%20%D0%B0%D0%BF%D1%80%D0%B5%D0%BB%D1%8F%202022%20%D0%B3%D0%BE%D0%B4%D0%B0%20%E2%84%96%20110%20%28%D0%A1%D0%90%D0%97%2022-13%29" TargetMode="External"/><Relationship Id="rId28"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839</Words>
  <Characters>5510</Characters>
  <CharactersWithSpaces>6380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