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порядке учета и оплаты топливно-энергетических ресурсов,</w:t>
      </w:r>
    </w:p>
    <w:p>
      <w:pPr>
        <w:pStyle w:val="BodyTextoutside-table"/>
        <w:bidi w:val="0"/>
        <w:spacing w:before="0" w:after="283"/>
        <w:ind w:firstLine="709" w:left="0" w:right="0"/>
        <w:jc w:val="center"/>
        <w:rPr/>
      </w:pPr>
      <w:r>
        <w:rPr>
          <w:rStyle w:val="Strong"/>
          <w:rFonts w:ascii="times new roman;times" w:hAnsi="times new roman;times"/>
          <w:sz w:val="24"/>
        </w:rPr>
        <w:t>водоснабжения и водоотведения бюджетными организациями,</w:t>
      </w:r>
    </w:p>
    <w:p>
      <w:pPr>
        <w:pStyle w:val="BodyTextoutside-table"/>
        <w:bidi w:val="0"/>
        <w:spacing w:before="0" w:after="283"/>
        <w:ind w:firstLine="709" w:left="0" w:right="0"/>
        <w:jc w:val="center"/>
        <w:rPr/>
      </w:pPr>
      <w:r>
        <w:rPr>
          <w:rStyle w:val="Strong"/>
          <w:rFonts w:ascii="times new roman;times" w:hAnsi="times new roman;times"/>
          <w:sz w:val="24"/>
        </w:rPr>
        <w:t>на объектах которых выполняются работы подрядными организациями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статьей 11 Закона Приднестровской Молдавской Республики </w:t>
      </w:r>
      <w:hyperlink r:id="rId6">
        <w:r>
          <w:rPr>
            <w:rFonts w:ascii="times new roman;times" w:hAnsi="times new roman;times"/>
            <w:sz w:val="24"/>
            <w:color w:val="0563C1"/>
            <w:u w:val="single"/>
          </w:rPr>
          <w:t xml:space="preserve">от 28 декабря 2005 года № 717-З-III «Об энергосбережении» (САЗ 06-1)</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целях организации учета энергетических ресурсов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Порядокучета и оплаты топливно-энергетических ресурсов, водоснабжения и водоотведения бюджетными организациями, на объектах которых выполняются работы подрядными организациями, согласно Приложению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11 ноября 2024 года № 446</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учета и оплаты топливно-энергетических ресурсов,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водоснабжения и водоотведения бюджетными организациями,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объектах которых выполняются работы подрядными организациями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Настоящий Порядок определяет требования к обеспечению учета и оплаты топливно-энергетических ресурсов, водоснабжения и водоотведения, потребленных подрядными организациями при выполнении ими строительных работ, монтажа оборудования, капитального ремонта оборудования, пусконаладочных и ремонтно-строительных работ (далее – работы) на объектах организаций, финансируемых из бюджетов всех уровней (далее – бюджетная организация), в целях соблюдения требований части четвертой подпункта а) пункта 1 статьи 8 Закона Приднестровской Молдавской Республики </w:t>
      </w:r>
      <w:hyperlink r:id="rId9">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Обособленный учет и оплата услуг электроснабжения при выполнении работ на объектах бюджетных организаций осуществляется в следующем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Бюджетная организация представляет в электроснабжающую организацию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объем электроэнергии, потребленной подрядной организацией при выполнении работ.</w:t>
      </w:r>
    </w:p>
    <w:p>
      <w:pPr>
        <w:pStyle w:val="BodyTextoutside-table"/>
        <w:bidi w:val="0"/>
        <w:spacing w:before="0" w:after="283"/>
        <w:ind w:firstLine="709" w:left="0" w:right="0"/>
        <w:jc w:val="left"/>
        <w:rPr/>
      </w:pPr>
      <w:r>
        <w:rPr>
          <w:rFonts w:ascii="times new roman;times" w:hAnsi="times new roman;times"/>
          <w:sz w:val="24"/>
        </w:rPr>
        <w:t xml:space="preserve">Объем электроэнергии, потребленной подрядной организацией при выполнении работ, определяется по нормам расхода электроэнергии, учтенным в государственных элементных сметных нормах на строительные работы, монтаж оборудования, капитальный ремонт оборудования пуско-наладочные работы и на ремонтно-строительные работы, утвержденных Приказом Министерства экономического развития Приднестровской Молдавской Республики </w:t>
      </w:r>
      <w:hyperlink r:id="rId10">
        <w:r>
          <w:rPr>
            <w:rFonts w:ascii="times new roman;times" w:hAnsi="times new roman;times"/>
            <w:sz w:val="24"/>
            <w:color w:val="0563C1"/>
            <w:u w:val="single"/>
          </w:rPr>
          <w:t xml:space="preserve">от 3 марта 2022 года № 191 «Об утверждении и введении 
в действие государственных элементных сметных норм на строительные работы, монтаж оборудования, капитальный ремонт оборудования, пусконаладочные работы и на ремонтно-строительные работы на территории Приднестровской Молдавской Республики»</w:t>
        </w:r>
      </w:hyperlink>
      <w:r>
        <w:rPr>
          <w:rFonts w:ascii="times new roman;times" w:hAnsi="times new roman;times"/>
          <w:sz w:val="24"/>
        </w:rPr>
        <w:t xml:space="preserve"> (газета </w:t>
      </w:r>
      <w:hyperlink r:id="rId11">
        <w:r>
          <w:rPr>
            <w:rFonts w:ascii="times new roman;times" w:hAnsi="times new roman;times"/>
            <w:sz w:val="24"/>
            <w:color w:val="0563C1"/>
            <w:u w:val="single"/>
          </w:rPr>
          <w:t xml:space="preserve">«Приднестровье» 
от 16 марта 2022 года № 44</w:t>
        </w:r>
      </w:hyperlink>
      <w:r>
        <w:rPr>
          <w:rFonts w:ascii="times new roman;times" w:hAnsi="times new roman;times"/>
          <w:sz w:val="24"/>
        </w:rPr>
        <w:t xml:space="preserve"> (6939));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дату начала и дату окончания периода времени, в течение которого подрядная организация потребляла электроэнергию (ежемесячно);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реквизиты подрядной организации (наименование, юридический адрес, банковские реквизиты).</w:t>
      </w:r>
    </w:p>
    <w:p>
      <w:pPr>
        <w:pStyle w:val="BodyTextoutside-table"/>
        <w:bidi w:val="0"/>
        <w:spacing w:before="0" w:after="283"/>
        <w:ind w:firstLine="709" w:left="0" w:right="0"/>
        <w:jc w:val="left"/>
        <w:rPr/>
      </w:pPr>
      <w:r>
        <w:rPr>
          <w:rFonts w:ascii="times new roman;times" w:hAnsi="times new roman;times"/>
          <w:sz w:val="24"/>
        </w:rPr>
        <w:t xml:space="preserve">На основании представленной информации электроснабжающая организация производит расчет стоимости электроэнергии, потребленной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 к которой относится подрядная организация. После этого электроснабжающая организация направляет подрядной организации платежный документ на оплату потребленной электроэнергии </w:t>
      </w:r>
      <w:r>
        <w:rPr/>
        <w:br/>
      </w:r>
      <w:r>
        <w:rPr>
          <w:rFonts w:ascii="times new roman;times" w:hAnsi="times new roman;times"/>
          <w:sz w:val="24"/>
        </w:rPr>
        <w:t>с сопроводительным письмом.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подрядная организация не является потребителем услуг электроснабжающей организации (договор электроснабжения отсутствует), расчет производится по платежному документу в установленном выше порядке по тарифам для промышленных и прочих потребителей.</w:t>
      </w:r>
    </w:p>
    <w:p>
      <w:pPr>
        <w:pStyle w:val="BodyTextoutside-table"/>
        <w:bidi w:val="0"/>
        <w:spacing w:before="0" w:after="283"/>
        <w:ind w:firstLine="709" w:left="0" w:right="0"/>
        <w:jc w:val="left"/>
        <w:rPr/>
      </w:pPr>
      <w:r>
        <w:rPr>
          <w:rFonts w:ascii="times new roman;times" w:hAnsi="times new roman;times"/>
          <w:sz w:val="24"/>
        </w:rPr>
        <w:t xml:space="preserve">Объем электроэнергии, потребленной бюджетной организацией, определяемый в соответствии с условиями договора электроснабжения </w:t>
      </w:r>
      <w:r>
        <w:rPr/>
        <w:br/>
      </w:r>
      <w:r>
        <w:rPr>
          <w:rFonts w:ascii="times new roman;times" w:hAnsi="times new roman;times"/>
          <w:sz w:val="24"/>
        </w:rPr>
        <w:t>с бюджетной организацией, подлежит учету и предъявляется к оплате бюджетной организации за минусом объемов, предъявленных к оплате подрядной организации. В лимиты потребления электроэнергии бюджетной организацией в натуральном и стоимостном выражении не включается объем электроэнергии, потребленной подрядной организацией при выполнении работ.</w:t>
      </w:r>
    </w:p>
    <w:p>
      <w:pPr>
        <w:pStyle w:val="BodyTextoutside-table"/>
        <w:bidi w:val="0"/>
        <w:spacing w:before="0" w:after="283"/>
        <w:ind w:firstLine="709" w:left="0" w:right="0"/>
        <w:jc w:val="left"/>
        <w:rPr/>
      </w:pPr>
      <w:r>
        <w:rPr>
          <w:rFonts w:ascii="times new roman;times" w:hAnsi="times new roman;times"/>
          <w:sz w:val="24"/>
        </w:rPr>
        <w:t xml:space="preserve">Стоимость электроэнергии, потребленной подрядной организацией при выполнении работ, включается в сметную стоимость работ в соответствии </w:t>
      </w:r>
      <w:r>
        <w:rPr/>
        <w:t xml:space="preserve">
</w:t>
      </w:r>
      <w:r>
        <w:rPr>
          <w:rFonts w:ascii="times new roman;times" w:hAnsi="times new roman;times"/>
          <w:sz w:val="24"/>
        </w:rPr>
        <w:t xml:space="preserve">с инструкциями по составлению смет на строительные и монтажные работы ресурсным методом, утвержденными Приказом Министерства экономического развития Приднестровской Молдавской Республики </w:t>
      </w:r>
      <w:hyperlink r:id="rId12">
        <w:r>
          <w:rPr>
            <w:rFonts w:ascii="times new roman;times" w:hAnsi="times new roman;times"/>
            <w:sz w:val="24"/>
            <w:color w:val="0563C1"/>
            <w:u w:val="single"/>
          </w:rPr>
          <w:t xml:space="preserve">от 19 сентября 2022 года № 1011 «Об утверждении Инструкций, регулирующих порядок ценообразования в строительстве ресурсным методом» (САЗ 22-44)</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pPr>
      <w:r>
        <w:rPr>
          <w:rFonts w:ascii="times new roman;times" w:hAnsi="times new roman;times"/>
          <w:sz w:val="24"/>
        </w:rPr>
        <w:t xml:space="preserve">3. Обособленный учет и оплата услуг водоснабжения и водоотведения при выполнении работ на объектах бюджетных организаций осуществляется </w:t>
      </w:r>
      <w:r>
        <w:rPr/>
        <w:br/>
      </w:r>
      <w:r>
        <w:rPr>
          <w:rFonts w:ascii="times new roman;times" w:hAnsi="times new roman;times"/>
          <w:sz w:val="24"/>
        </w:rPr>
        <w:t>в следующем порядке.</w:t>
      </w:r>
    </w:p>
    <w:p>
      <w:pPr>
        <w:pStyle w:val="BodyTextoutside-table"/>
        <w:bidi w:val="0"/>
        <w:spacing w:before="0" w:after="283"/>
        <w:ind w:firstLine="709" w:left="0" w:right="0"/>
        <w:jc w:val="left"/>
        <w:rPr/>
      </w:pPr>
      <w:r>
        <w:rPr>
          <w:rFonts w:ascii="times new roman;times" w:hAnsi="times new roman;times"/>
          <w:sz w:val="24"/>
        </w:rPr>
        <w:t xml:space="preserve">В случае если договором подряда между бюджетной организацией </w:t>
      </w:r>
      <w:r>
        <w:rPr/>
        <w:br/>
      </w:r>
      <w:r>
        <w:rPr>
          <w:rFonts w:ascii="times new roman;times" w:hAnsi="times new roman;times"/>
          <w:sz w:val="24"/>
        </w:rPr>
        <w:t xml:space="preserve">и подрядной организацией предусмотрена возможность заключения отдельного договора на оказание услуг по водоснабжению и водоотведению, подрядная организация вправе заключить договор на водоснабжение и водоотведение </w:t>
      </w:r>
      <w:r>
        <w:rPr/>
        <w:br/>
      </w:r>
      <w:r>
        <w:rPr>
          <w:rFonts w:ascii="times new roman;times" w:hAnsi="times new roman;times"/>
          <w:sz w:val="24"/>
        </w:rPr>
        <w:t>с организаций водоснабжения на период выполнения работ, определяемый условиями договора подряда.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заключения подрядной организацией договора на водоснабжение и водоотведение расчет с подрядной организацией производится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отдельному прибору учета (при наличии такой возможности) по тарифам, установленным законодательством Приднестровской Молдавской Республики для соответствующей категории потребителей, к которой относится подрядная организация;</w:t>
      </w:r>
    </w:p>
    <w:p>
      <w:pPr>
        <w:pStyle w:val="BodyTextoutside-table"/>
        <w:bidi w:val="0"/>
        <w:spacing w:before="0" w:after="283"/>
        <w:ind w:firstLine="709" w:left="0" w:right="0"/>
        <w:jc w:val="left"/>
        <w:rPr/>
      </w:pPr>
      <w:r>
        <w:rPr>
          <w:rFonts w:ascii="times new roman;times" w:hAnsi="times new roman;times"/>
          <w:sz w:val="24"/>
        </w:rPr>
        <w:t xml:space="preserve">б) по ежемесячно представляемой в письменном виде информации, согласованной подрядной организацией и бюджетной организацией, </w:t>
      </w:r>
      <w:r>
        <w:rPr/>
        <w:br/>
      </w:r>
      <w:r>
        <w:rPr>
          <w:rFonts w:ascii="times new roman;times" w:hAnsi="times new roman;times"/>
          <w:sz w:val="24"/>
        </w:rPr>
        <w:t xml:space="preserve">о перераспределении объемов водоснабжения, зафиксированных входящим прибором учета (в долевом, процентном соотношении от общего объема или </w:t>
      </w:r>
      <w:r>
        <w:rPr/>
        <w:br/>
      </w:r>
      <w:r>
        <w:rPr>
          <w:rFonts w:ascii="times new roman;times" w:hAnsi="times new roman;times"/>
          <w:sz w:val="24"/>
        </w:rPr>
        <w:t>с указанием фактического объема потребленных услуг) в случае отсутствия отдельного прибора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если реализация услуг для бюджетной организации осуществляется по нормам потребления, то расчет для подрядной организации производится также по нормам потребления.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Объем водоснабжения и водоотведения, фактически потребленный бюджетной организацией, подлежит учету за минусом объемов, потребленных и предъявленных к оплате подрядной организации.</w:t>
      </w:r>
    </w:p>
    <w:p>
      <w:pPr>
        <w:pStyle w:val="BodyTextoutside-table"/>
        <w:bidi w:val="0"/>
        <w:spacing w:before="0" w:after="283"/>
        <w:ind w:firstLine="709" w:left="0" w:right="0"/>
        <w:jc w:val="left"/>
        <w:rPr/>
      </w:pPr>
      <w:r>
        <w:rPr>
          <w:rFonts w:ascii="times new roman;times" w:hAnsi="times new roman;times"/>
          <w:sz w:val="24"/>
        </w:rPr>
        <w:t xml:space="preserve">В случае если территориально место потребления и место регистрации подрядной организации относится к разным филиалам организации водоснабжения, расчет производится по платежному документу и включается </w:t>
      </w:r>
      <w:r>
        <w:rPr/>
        <w:br/>
      </w:r>
      <w:r>
        <w:rPr>
          <w:rFonts w:ascii="times new roman;times" w:hAnsi="times new roman;times"/>
          <w:sz w:val="24"/>
        </w:rPr>
        <w:t>в показатели филиала организации водоснабжения, на территории которого осуществлялись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Обособленный учет и оплата услуг газоснабжения при выполнении работ на объектах бюджетных организаций осуществляется в следующем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Бюджетные организации при подготовке в установленном порядке документации о закупке работ учитывают предполагаемый (предельный) объем и стоимость природного газа и услуг по его транспортировке.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Подрядные организации при подготовке смет на работы, проводимые на объектах бюджетных организаций, учитывают предполагаемый (предельный) объем и стоимость природного газа и услуг по его транспортировке.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завершения работ на основании обращения бюджетной организации с приложением копии акта выполненных работ правоотношения между газоснабжающей организацией, бюджетной организацией и подрядной организацией осуществляются в порядке, установленном гражданским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Объем и стоимость природного газа, потребленного подрядной организацией при выполнении работ, отражаются как в сметной стоимости, так и в акте выполненных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стоимости природного газа, потребленного подрядной организацией, и услуг по его транспортировке производится по тарифам, установленным законодательством Приднестровской Молдавской Республики для соответствующей категории потребителей, к которой относится подрядная организация.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Окончательный (фактический) объем природного газа, потребленный при выполнении работ подрядной организацией, может быть определен следующими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прибору учета, если прибор осуществляет учет природного газа только на объект, на котором выполняются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расчетным методом при стравливании природного газа и продувки газопровода, неотъемлемо связанных с производством работ, – исходя из метрологических (давление газа, атмосферное давление, температура), физических (время продувки, сечение газопровода и отверстия, через которое осуществляется продувка) величин;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расчетным методом, если отпуск природного газа одновременно осуществляется через один прибор учета на несколько единиц газоиспользующего оборудования, включая объект, на котором выполняются работы, – исходя из паспортных характеристик оборудования и (или) пропорционально площади отапливаемого помещения, в котором осуществляются работы, в случае, если при выполнении работ требуется отопление указанного помещения.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начала и дата окончания подачи газа для выполнения работ фиксируется актом (произвольной формы), составленным представителями газоснабжающей, бюджетной и подрядной организаций. При этом для подрядной организации учитывается только объем газа, затраченный на стравливание и продувку, на пуско-наладочные работы и (или) отопление помещений в период от даты начала пользования газом до даты завершения производства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Оплату стоимости природного газа и услуг по его транспортировке подрядчик осуществляет газоснабжающей организации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Объем природного газа, потребленный при производстве работ, прошедший через прибор учета газа, находящийся на балансе бюджетной организации, в коммерческих актах к договорам на поставку природного газа </w:t>
      </w:r>
      <w:r>
        <w:rPr/>
        <w:br/>
      </w:r>
      <w:r>
        <w:rPr>
          <w:rFonts w:ascii="times new roman;times" w:hAnsi="times new roman;times"/>
          <w:sz w:val="24"/>
        </w:rPr>
        <w:t>и его транспортировку, заключенным с бюджетной организацией, учитывается, но оплате не подлежит, а также не включается в лимит природного газа, выделенный бюджетной организации на соответствующий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Обособленный учет и оплата услуг теплоснабжения при выполнении работ на объектах бюджетных организаций осуществляется в следующем порядке.</w:t>
      </w:r>
    </w:p>
    <w:p>
      <w:pPr>
        <w:pStyle w:val="BodyTextoutside-table"/>
        <w:bidi w:val="0"/>
        <w:spacing w:before="0" w:after="283"/>
        <w:ind w:firstLine="709" w:left="0" w:right="0"/>
        <w:jc w:val="left"/>
        <w:rPr/>
      </w:pPr>
      <w:r>
        <w:rPr>
          <w:rFonts w:ascii="times new roman;times" w:hAnsi="times new roman;times"/>
          <w:sz w:val="24"/>
        </w:rPr>
        <w:t xml:space="preserve">Тепловая энергия на цели теплоснабжения в соответствии </w:t>
      </w:r>
      <w:r>
        <w:rPr/>
        <w:br/>
      </w:r>
      <w:r>
        <w:rPr>
          <w:rFonts w:ascii="times new roman;times" w:hAnsi="times new roman;times"/>
          <w:sz w:val="24"/>
        </w:rPr>
        <w:t>с законодательством Приднестровской Молдавской Республики подается на договорной основе. Ввиду этого между теплоснабжающей организацией, бюджетной организацией и подрядной организацией заключается трехсторонний договор теплоснабжения, в котором плательщиком по договору теплоснабжения является подрядная организация по тарифу, установленному законодательством Приднестровской Молдавской Республики для соответствующей категории потребителей. При этом объем потребления тепловой энергии на период действия обозначенного договора теплоснабжения не будет подлежать включению в лимиты бюджетной организации.</w:t>
      </w:r>
    </w:p>
    <w:p>
      <w:pPr>
        <w:pStyle w:val="BodyTextoutside-table"/>
        <w:bidi w:val="0"/>
        <w:spacing w:before="0" w:after="283"/>
        <w:ind w:firstLine="709" w:left="0" w:right="0"/>
        <w:jc w:val="left"/>
        <w:rPr/>
      </w:pPr>
      <w:r>
        <w:rPr>
          <w:rFonts w:ascii="times new roman;times" w:hAnsi="times new roman;times"/>
          <w:sz w:val="24"/>
        </w:rPr>
        <w:t xml:space="preserve">Для заключения трехстороннего договора бюджетной организации необходимо письменно обратиться в адрес теплоснабжающей организации </w:t>
      </w:r>
      <w:r>
        <w:rPr/>
        <w:br/>
      </w:r>
      <w:r>
        <w:rPr>
          <w:rFonts w:ascii="times new roman;times" w:hAnsi="times new roman;times"/>
          <w:sz w:val="24"/>
        </w:rPr>
        <w:t>с приложением следующих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соответствующего договора на выполнение работ, заключенного между бюджетной организацией и подрядной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гарантийного письма подрядной организации о готовности принять обязательства по оплате за тепловую энергию, потребленную на соответствующем объекте теплопотребления, в котором будут производиться работы, в период действия трехстороннего договора теплоснабжения;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иных документов, необходимых для заключения договора теплоснабжения, определенных в соответствии с законодательством Приднестровской Молдавской Республики (техническая документация, в том числе для расчета договорной тепловой нагрузки).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получения всех необходимых документов теплоснабжающая организация производит расчет тепловой нагрузки и ориентировочный расчет годовой потребности в тепловой энергии, которые указываются в проекте трехстороннего договора теплоснабжения. Указанный проект трехстороннего договора теплоснабжения направляется на подписание и скрепление печатью всем сторонам договора, после чего осуществляется подача тепловой энергии на объект теплопотребления.</w:t>
      </w:r>
    </w:p>
    <w:p>
      <w:pPr>
        <w:pStyle w:val="BodyTextoutside-table"/>
        <w:bidi w:val="0"/>
        <w:spacing w:before="0" w:after="283"/>
        <w:ind w:firstLine="709" w:left="0" w:right="0"/>
        <w:jc w:val="left"/>
        <w:rPr/>
      </w:pPr>
      <w:r>
        <w:rPr>
          <w:rFonts w:ascii="times new roman;times" w:hAnsi="times new roman;times"/>
          <w:sz w:val="24"/>
        </w:rPr>
        <w:t xml:space="preserve">Учет потребленной тепловой энергии в соответствии с договором теплоснабжения осуществляется при наличии прибора учета тепловой </w:t>
      </w:r>
      <w:r>
        <w:rPr/>
        <w:br/>
      </w:r>
      <w:r>
        <w:rPr>
          <w:rFonts w:ascii="times new roman;times" w:hAnsi="times new roman;times"/>
          <w:sz w:val="24"/>
        </w:rPr>
        <w:t>энергии по прибору, а при его отсутствии – по договорной нагрузке, определенной договором теплоснабжения, с учетом температуры наружного воздуха, при новом строительстве либо реконструкции при наличии проектной документации – нагрузка проектная, при капитальном ремонте – нагрузка существующая. </w:t>
      </w:r>
    </w:p>
    <w:p>
      <w:pPr>
        <w:pStyle w:val="BodyTextoutside-table"/>
        <w:bidi w:val="0"/>
        <w:spacing w:before="0" w:after="283"/>
        <w:ind w:firstLine="709" w:left="0" w:right="0"/>
        <w:jc w:val="left"/>
        <w:rPr/>
      </w:pPr>
      <w:r>
        <w:rPr>
          <w:rFonts w:ascii="times new roman;times" w:hAnsi="times new roman;times"/>
          <w:sz w:val="24"/>
        </w:rPr>
        <w:t xml:space="preserve">После окончания расчетного месяца оказания услуги составляется акт </w:t>
      </w:r>
      <w:r>
        <w:rPr/>
        <w:br/>
      </w:r>
      <w:r>
        <w:rPr>
          <w:rFonts w:ascii="times new roman;times" w:hAnsi="times new roman;times"/>
          <w:sz w:val="24"/>
        </w:rPr>
        <w:t>о фактическом потреблении, в котором указывается потребленный в рамках трехстороннего договора теплоснабжения объем тепловой энергии. Данный объем потребленной тепловой энергии не включается в лимиты потребления тепловой энергии бюджетной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завершения работ и ввода здания в эксплуатацию заключается двухсторонний договор теплоснабжения с бюджетной организацией по типовой форме, предусмотренной законодательством Приднестровской Молдавской Республики с учетом выделенных лимитов потребления тепловой энергии.</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8%20%D0%B4%D0%B5%D0%BA%D0%B0%D0%B1%D1%80%D1%8F%202005%20%D0%B3%D0%BE%D0%B4%D0%B0%20%E2%84%96%20717-%D0%97-III%20%C2%AB%D0%9E%D0%B1%20%D1%8D%D0%BD%D0%B5%D1%80%D0%B3%D0%BE%D1%81%D0%B1%D0%B5%D1%80%D0%B5%D0%B6%D0%B5%D0%BD%D0%B8%D0%B8%C2%BB%20%28%D0%A1%D0%90%D0%97%2006-1%29" TargetMode="External"/><Relationship Id="rId7"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8" Type="http://schemas.openxmlformats.org/officeDocument/2006/relationships/hyperlink" Target="documents/search/doc-link/?q=%D0%BE%D1%82%2011%20%D0%BD%D0%BE%D1%8F%D0%B1%D1%80%D1%8F%202024%20%D0%B3%D0%BE%D0%B4%D0%B0%20%E2%84%96%20446" TargetMode="External"/><Relationship Id="rId9"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C2%A02024%20%D0%B3%D0%BE%D0%B4%C2%BB%20%28%D0%A1%D0%90%D0%97%2024-1%29" TargetMode="External"/><Relationship Id="rId10" Type="http://schemas.openxmlformats.org/officeDocument/2006/relationships/hyperlink" Target="documents/search/doc-link/?q=%D0%BE%D1%82%203%20%D0%BC%D0%B0%D1%80%D1%82%D0%B0%202022%20%D0%B3%D0%BE%D0%B4%D0%B0%20%E2%84%96%20191%20%C2%AB%D0%9E%D0%B1%20%D1%83%D1%82%D0%B2%D0%B5%D1%80%D0%B6%D0%B4%D0%B5%D0%BD%D0%B8%D0%B8%20%D0%B8%20%D0%B2%D0%B2%D0%B5%D0%B4%D0%B5%D0%BD%D0%B8%D0%B8%20%0A%D0%B2%20%D0%B4%D0%B5%D0%B9%D1%81%D1%82%D0%B2%D0%B8%D0%B5%20%D0%B3%D0%BE%D1%81%D1%83%D0%B4%D0%B0%D1%80%D1%81%D1%82%D0%B2%D0%B5%D0%BD%D0%BD%D1%8B%D1%85%20%D1%8D%D0%BB%D0%B5%D0%BC%D0%B5%D0%BD%D1%82%D0%BD%D1%8B%D1%85%20%D1%81%D0%BC%D0%B5%D1%82%D0%BD%D1%8B%D1%85%20%D0%BD%D0%BE%D1%80%D0%BC%20%D0%BD%D0%B0%20%D1%81%D1%82%D1%80%D0%BE%D0%B8%D1%82%D0%B5%D0%BB%D1%8C%D0%BD%D1%8B%D0%B5%20%D1%80%D0%B0%D0%B1%D0%BE%D1%82%D1%8B%2C%20%D0%BC%D0%BE%D0%BD%D1%82%D0%B0%D0%B6%20%D0%BE%D0%B1%D0%BE%D1%80%D1%83%D0%B4%D0%BE%D0%B2%D0%B0%D0%BD%D0%B8%D1%8F%2C%20%D0%BA%D0%B0%D0%BF%D0%B8%D1%82%D0%B0%D0%BB%D1%8C%D0%BD%D1%8B%D0%B9%20%D1%80%D0%B5%D0%BC%D0%BE%D0%BD%D1%82%20%D0%BE%D0%B1%D0%BE%D1%80%D1%83%D0%B4%D0%BE%D0%B2%D0%B0%D0%BD%D0%B8%D1%8F%2C%20%D0%BF%D1%83%D1%81%D0%BA%D0%BE%D0%BD%D0%B0%D0%BB%D0%B0%D0%B4%D0%BE%D1%87%D0%BD%D1%8B%D0%B5%20%D1%80%D0%B0%D0%B1%D0%BE%D1%82%D1%8B%20%D0%B8%20%D0%BD%D0%B0%20%D1%80%D0%B5%D0%BC%D0%BE%D0%BD%D1%82%D0%BD%D0%BE-%D1%81%D1%82%D1%80%D0%BE%D0%B8%D1%82%D0%B5%D0%BB%D1%8C%D0%BD%D1%8B%D0%B5%20%D1%80%D0%B0%D0%B1%D0%BE%D1%82%D1%8B%20%D0%BD%D0%B0%20%D1%82%D0%B5%D1%80%D1%80%D0%B8%D1%82%D0%BE%D1%80%D0%B8%D0%B8%20%D0%9F%D1%80%D0%B8%D0%B4%D0%BD%D0%B5%D1%81%D1%82%D1%80%D0%BE%D0%B2%D1%81%D0%BA%D0%BE%D0%B9%20%D0%9C%D0%BE%D0%BB%D0%B4%D0%B0%D0%B2%D1%81%D0%BA%D0%BE%D0%B9%20%D0%A0%D0%B5%D1%81%D0%BF%D1%83%D0%B1%D0%BB%D0%B8%D0%BA%D0%B8%C2%BB" TargetMode="External"/><Relationship Id="rId11" Type="http://schemas.openxmlformats.org/officeDocument/2006/relationships/hyperlink" Target="documents/search/doc-link/?q=%C2%AB%D0%9F%D1%80%D0%B8%D0%B4%D0%BD%D0%B5%D1%81%D1%82%D1%80%D0%BE%D0%B2%D1%8C%D0%B5%C2%BB%20%0A%D0%BE%D1%82%2016%20%D0%BC%D0%B0%D1%80%D1%82%D0%B0%202022%20%D0%B3%D0%BE%D0%B4%D0%B0%20%E2%84%96%2044" TargetMode="External"/><Relationship Id="rId12" Type="http://schemas.openxmlformats.org/officeDocument/2006/relationships/hyperlink" Target="documents/search/doc-link/?q=%D0%BE%D1%82%2019%20%D1%81%D0%B5%D0%BD%D1%82%D1%8F%D0%B1%D1%80%D1%8F%202022%20%D0%B3%D0%BE%D0%B4%D0%B0%20%E2%84%96%201011%20%C2%AB%D0%9E%D0%B1%20%D1%83%D1%82%D0%B2%D0%B5%D1%80%D0%B6%D0%B4%D0%B5%D0%BD%D0%B8%D0%B8%20%D0%98%D0%BD%D1%81%D1%82%D1%80%D1%83%D0%BA%D1%86%D0%B8%D0%B9%2C%20%D1%80%D0%B5%D0%B3%D1%83%D0%BB%D0%B8%D1%80%D1%83%D1%8E%D1%89%D0%B8%D1%85%20%D0%BF%D0%BE%D1%80%D1%8F%D0%B4%D0%BE%D0%BA%20%D1%86%D0%B5%D0%BD%D0%BE%D0%BE%D0%B1%D1%80%D0%B0%D0%B7%D0%BE%D0%B2%D0%B0%D0%BD%D0%B8%D1%8F%20%D0%B2%20%D1%81%D1%82%D1%80%D0%BE%D0%B8%D1%82%D0%B5%D0%BB%D1%8C%D1%81%D1%82%D0%B2%D0%B5%20%D1%80%D0%B5%D1%81%D1%83%D1%80%D1%81%D0%BD%D1%8B%D0%BC%20%D0%BC%D0%B5%D1%82%D0%BE%D0%B4%D0%BE%D0%BC%C2%BB%20%28%D0%A1%D0%90%D0%97%2022-4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1535</Words>
  <Characters>11848</Characters>
  <CharactersWithSpaces>13408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