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bookmarkStart w:id="0" w:name="_Hlk62812409"/>
      <w:bookmarkEnd w:id="0"/>
      <w:r>
        <w:rPr>
          <w:rStyle w:val="Strong"/>
        </w:rPr>
        <w:t>Об отмене Приказа Министерства финансов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266 «Об утверждении форм документов, подаваемых в налоговый орган в рамках специального налогового режима – упрощенная система налогообложения Палаты адвокатов Приднестровской Молдавской Республики, и предоставлении Палатой адвокатов Приднестровской Молдавской Республики 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отчета в налоговый орган»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2023002383, дата опубликования: 29 декабря 2023 года)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 2023 года № 273-З-VII «Специальный налоговый режим – упрощенная система налогообложения Палаты адвокатов Приднестровской Молдавской Республики и адвокатских образований» (САЗ 23-30)</w:t>
        </w:r>
      </w:hyperlink>
      <w:r>
        <w:rPr>
          <w:rFonts w:ascii="times new roman;times" w:hAnsi="times new roman;times"/>
          <w:sz w:val="24"/>
        </w:rPr>
        <w:t xml:space="preserve"> приказываю:   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Приказ Министерства финансов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266 «Об утверждении форм документов, подаваемых в налоговый орган в рамках специального налогового режима – упрощенная система налогообложения Палаты адвокатов Приднестровской Молдавской Республики, и предоставлении Палатой адвокатов Приднестровской Молдавской Республики отчета в налоговый орган»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2023002383, дата опубликования: 29 декабря 2023 года) с изменениями и дополнением, внесенными Приказом Министерства финансов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2024 года № 81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2024000976, дата опубликования: 26 апреля 2024 года).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Направить настоящий Приказ на официальное опубликование в Министерство юстиции Приднестровской Молдавской Республики.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 Председателя Правительства -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                           А. РУСКЕВИЧ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7653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"/>
        <w:bidi w:val="0"/>
        <w:spacing w:before="0" w:after="283"/>
        <w:ind w:hanging="0" w:left="0" w:right="7370"/>
        <w:jc w:val="center"/>
        <w:rPr>
          <w:rFonts w:ascii="times new roman;times" w:hAnsi="times new roman;times"/>
          <w:sz w:val="24"/>
          <w:lang w:val="ru-RU"/>
        </w:rPr>
      </w:pPr>
      <w:r>
        <w:rPr>
          <w:rFonts w:ascii="times new roman;times" w:hAnsi="times new roman;times"/>
          <w:sz w:val="24"/>
          <w:lang w:val="ru-RU"/>
        </w:rPr>
        <w:t>13 декабря 2024 г.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7511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  <w:lang w:val="ru-RU"/>
        </w:rPr>
        <w:t>221</w:t>
      </w:r>
    </w:p>
    <w:p>
      <w:pPr>
        <w:pStyle w:val="BodyText"/>
        <w:bidi w:val="0"/>
        <w:spacing w:before="0" w:after="0"/>
        <w:ind w:hanging="0" w:left="0" w:right="493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0"/>
        <w:ind w:hanging="0" w:left="0" w:right="493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"/>
        <w:bidi w:val="0"/>
        <w:spacing w:before="0" w:after="0"/>
        <w:ind w:hanging="0" w:left="0" w:right="493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0"/>
        <w:ind w:hanging="0" w:left="0" w:right="4930"/>
        <w:jc w:val="center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left="0" w:right="4930"/>
        <w:jc w:val="center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 xml:space="preserve">Об утверждении Прогноза баланса трудовых ресурсов </w:t>
      </w:r>
    </w:p>
    <w:p>
      <w:pPr>
        <w:pStyle w:val="BodyText"/>
        <w:bidi w:val="0"/>
        <w:spacing w:before="0" w:after="0"/>
        <w:ind w:hanging="0" w:left="0" w:right="4930"/>
        <w:jc w:val="center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Приднестровской Молдавской Республики на 2025-2027 годы</w:t>
      </w:r>
    </w:p>
    <w:p>
      <w:pPr>
        <w:pStyle w:val="BodyText"/>
        <w:bidi w:val="0"/>
        <w:spacing w:before="0" w:after="0"/>
        <w:ind w:hanging="0" w:left="0" w:right="4930"/>
        <w:jc w:val="center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left="0" w:right="4930"/>
        <w:jc w:val="center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Согласован:</w:t>
      </w:r>
    </w:p>
    <w:p>
      <w:pPr>
        <w:pStyle w:val="BodyText"/>
        <w:bidi w:val="0"/>
        <w:spacing w:before="0" w:after="0"/>
        <w:ind w:hanging="0" w:left="0" w:right="4930"/>
        <w:jc w:val="center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Министерство экономического развития</w:t>
      </w:r>
    </w:p>
    <w:p>
      <w:pPr>
        <w:pStyle w:val="BodyText"/>
        <w:bidi w:val="0"/>
        <w:spacing w:before="0" w:after="0"/>
        <w:ind w:hanging="0" w:left="0" w:right="4930"/>
        <w:jc w:val="lef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left="0" w:right="493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327-З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316 «Об утверждении Положения о разработке прогноза баланса трудовых ресурсов Приднестровской Молдавской Республики и Методики разработки прогноза баланса трудовых ресурсов Приднестровской Молдавской Республики» (САЗ 18-37)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2019 года № 112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2022 года № 30 (САЗ 22-4)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>
          <w:rFonts w:ascii="times new roman;times" w:hAnsi="times new roman;times"/>
          <w:sz w:val="24"/>
        </w:rPr>
        <w:t xml:space="preserve">приказываю:</w:t>
      </w:r>
    </w:p>
    <w:p>
      <w:pPr>
        <w:pStyle w:val="BodyText"/>
        <w:bidi w:val="0"/>
        <w:spacing w:before="0" w:after="0"/>
        <w:ind w:hanging="0" w:left="0" w:right="4930"/>
        <w:jc w:val="left"/>
        <w:outlineLvl w:val="1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1. Утвердить Прогноз баланса трудовых ресурсов Приднестровской Молдавской Республики на 2025-2027 годы согласно Приложению к настоящему Приказу.</w:t>
      </w:r>
    </w:p>
    <w:p>
      <w:pPr>
        <w:pStyle w:val="BodyText"/>
        <w:bidi w:val="0"/>
        <w:spacing w:before="0" w:after="0"/>
        <w:ind w:hanging="0" w:left="0" w:right="4930"/>
        <w:jc w:val="left"/>
        <w:outlineLvl w:val="1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2. Направить настоящий Приказ в Министерство юстиции Приднестровской Молдавской Республики на официальное опубликование.</w:t>
      </w:r>
    </w:p>
    <w:p>
      <w:pPr>
        <w:pStyle w:val="BodyText"/>
        <w:bidi w:val="0"/>
        <w:spacing w:before="0" w:after="0"/>
        <w:ind w:hanging="0" w:left="0" w:right="4930"/>
        <w:jc w:val="left"/>
        <w:outlineLvl w:val="1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0"/>
        <w:ind w:hanging="0" w:left="0" w:right="4930"/>
        <w:jc w:val="lef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left="0" w:right="493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                                                                                                          Е. КУЛИЧЕНКО</w:t>
      </w:r>
    </w:p>
    <w:p>
      <w:pPr>
        <w:pStyle w:val="BodyText"/>
        <w:bidi w:val="0"/>
        <w:spacing w:before="0" w:after="0"/>
        <w:ind w:hanging="0" w:left="0" w:right="493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11734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0"/>
        <w:ind w:hanging="0" w:left="0" w:right="11734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декабря 2024 г.</w:t>
      </w:r>
    </w:p>
    <w:p>
      <w:pPr>
        <w:pStyle w:val="BodyText"/>
        <w:bidi w:val="0"/>
        <w:spacing w:before="0" w:after="0"/>
        <w:ind w:hanging="0" w:left="0" w:right="11734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113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Приложение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Приказу Министерства по социальной защите и труду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2024 года № 113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Прогноз баланса трудовых ресурсов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2025-2027 годы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(человек)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89"/>
        <w:gridCol w:w="593"/>
        <w:gridCol w:w="665"/>
        <w:gridCol w:w="946"/>
        <w:gridCol w:w="925"/>
        <w:gridCol w:w="846"/>
        <w:gridCol w:w="1004"/>
        <w:gridCol w:w="1004"/>
        <w:gridCol w:w="1002"/>
        <w:gridCol w:w="136"/>
      </w:tblGrid>
      <w:tr>
        <w:trPr>
          <w:trHeight w:val="570" w:hRule="atLeast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Алгоритм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расчета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Текущий год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Очередной год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Первый год планового периода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Второй год планового периода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color w:val="000000"/>
              </w:rPr>
              <w:t> </w:t>
            </w:r>
            <w:r>
              <w:rPr>
                <w:rStyle w:val="Strong"/>
                <w:rFonts w:ascii="times new roman;times" w:hAnsi="times new roman;times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2027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I. </w:t>
            </w:r>
            <w:r>
              <w:rPr>
                <w:rFonts w:ascii="times new roman;times" w:hAnsi="times new roman;times"/>
                <w:color w:val="000000"/>
                <w:sz w:val="20"/>
              </w:rPr>
              <w:t>Формирование трудовых ресурсов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Численность трудовых ресурсов, всего 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стр.4+стр.5 +стр.6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268 660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266 493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265 586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264 260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263 171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трудоспособное население в трудоспособном возрасте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235 905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233 838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232 701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231 305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230 066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иностранные трудовые мигранты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работающие граждане, находящиеся за пределами трудоспособного возраста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стр.8+стр.9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32 753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32 654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32 880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32 950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33 100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пенсионеры старше трудоспособного возраста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31 320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31 443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31 560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31 600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31 700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подростки моложе трудоспособного возраста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1 433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1 211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1 320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1 350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1 400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II. </w:t>
            </w:r>
            <w:r>
              <w:rPr>
                <w:rFonts w:ascii="times new roman;times" w:hAnsi="times new roman;times"/>
                <w:color w:val="000000"/>
                <w:sz w:val="20"/>
              </w:rPr>
              <w:t>Распределение численности трудовых ресурсов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стр.11 + стр.39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163 326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160 309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160 777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161 550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162 040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Численность занятых в экономике, всего**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сумма строк с 13 по 38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131 601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130 461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129 691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129 447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129 307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том числе по отраслям экономики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23 099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22 506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21 928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21 900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21 900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7 448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7 450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7 455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7 460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7 465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лесное хозяйство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304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317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транспорт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51000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4 919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4 850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4 782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4 715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4 649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связь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52000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1 825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1 797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1 769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1 742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1 716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2 658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2 745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2 835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2 928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3 023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торговля и общественное питание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15 845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15 120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15 050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15 050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15 050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материально - техническое снабжение и сбыт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заготовки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81000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информационно - вычислительное обслуживание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82000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1 170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1 371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1 450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1 495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1 540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операции с недвижимым имуществом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83000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1 572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1 553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1 500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1 450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1 400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общая коммерческая деятельность по обеспечению функционирования рынка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84000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525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геология и разведка недр, геодезическая и гидрометеорологическая службы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85000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прочие виды деятельности сферы материального производства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87000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866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5 143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5 069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5 020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4 980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здравоохранение и социальное обеспечение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91000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10 433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10 219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10 180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10 150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10 150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92000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17 914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17 696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17 600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17 505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17 410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культура и искусство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93000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3 397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3 313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3 300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3 300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3 300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физкультура, отдых и туризм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94000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2 118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2 186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2 205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2 225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2 245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наука и научное обслуживание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95000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финансы, кредит, страхование, пенсионное обеспечение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96000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2 344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2 290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2 237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2 186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2 135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управление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97000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5 883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5 802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5 780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5 755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5 730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общественные объединения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98000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прочие отрасли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16 938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17 870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17 900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17 930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17 930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Трудоспособные осужденные, привлекаемые к оплачиваемому труду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Численность граждан, занятых в домашнем хоз-ве, включая работающих в личном подсобном хоз-ве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5 910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5 705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5 780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5 735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5 756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Численность населения, не занятого в экономике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сумма строк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41-43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31 725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29 848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31 086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32 103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32 733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численность граждан, обучающихся в организациях образования по очной форме обучения (без учета обучающихся трудоспособного возраста, совмещающих обучение с трудовой деятельностью)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14 758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14 643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16 151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17 308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17 988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численность граждан, зарегистрированных в качестве ищущих работу и которым официально присвоен статус безработного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1 911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1 509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1 450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1 400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1 350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15 056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13 696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13 485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13 395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13 395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88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Экономически активное население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стр.11+ стр.42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133 512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131 970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131 141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130 847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130 657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Уровень зарегистрированной безработицы, %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(стр.42/стр.44)х100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1,43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1,14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1,11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1,07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1,03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55" w:hRule="atLeast"/>
        </w:trPr>
        <w:tc>
          <w:tcPr>
            <w:tcW w:w="328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Сбалансированность трудовых ресурсов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стр.2 -(стр.11+стр.39)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105 334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106 184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104 809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102 710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101 131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Примечание: при составлении прогноза баланса трудовых ресурсов Приднестровской Молдавской Республики в показателе «Численность занятых в экономике, всего» (стр. 11) не учтены данные о количестве </w:t>
      </w:r>
      <w:r>
        <w:rPr>
          <w:rFonts w:ascii="times new roman;times" w:hAnsi="times new roman;times"/>
          <w:color w:val="333333"/>
          <w:sz w:val="24"/>
          <w:shd w:fill="FFFFFF" w:val="clear"/>
        </w:rPr>
        <w:t>государственных служащих, состоящих на воинских должностях и должностях правоохранительной службы.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5214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Аналитическая информация к прогнозу баланса трудовых ресурсов </w:t>
      </w:r>
    </w:p>
    <w:p>
      <w:pPr>
        <w:pStyle w:val="BodyText"/>
        <w:bidi w:val="0"/>
        <w:spacing w:before="0" w:after="0"/>
        <w:ind w:hanging="0" w:left="0" w:right="5214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на 2025-2027 годы</w:t>
      </w:r>
    </w:p>
    <w:p>
      <w:pPr>
        <w:pStyle w:val="BodyText"/>
        <w:bidi w:val="0"/>
        <w:spacing w:before="0" w:after="0"/>
        <w:ind w:hanging="0" w:left="0" w:right="5214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5214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Прогноз баланса трудовых ресурсов Приднестровской Молдавской Республики на 2025-2027 годы (далее – прогноз баланса трудовых ресурсов) разработан на основании данных, представленных органами государственной власти за отчетный год, текущий год и на прогнозный период с учетом Прогноза социально-экономического развития Приднестровской Молдавской Республики на 2025 год. </w:t>
      </w:r>
    </w:p>
    <w:p>
      <w:pPr>
        <w:pStyle w:val="BodyText"/>
        <w:bidi w:val="0"/>
        <w:spacing w:before="0" w:after="0"/>
        <w:ind w:hanging="0" w:left="0" w:right="5214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 составлении прогноза баланса трудовых ресурсов, занятых в экономике, была использована информация, предоставленная Министерством экономического развития Приднестровской Молдавской Республики об анализе текущей ситуации в экономике страны и определении факторов, которые могут оказать на нее воздействие в краткосрочной перспективе.</w:t>
      </w:r>
    </w:p>
    <w:p>
      <w:pPr>
        <w:pStyle w:val="BodyText"/>
        <w:bidi w:val="0"/>
        <w:spacing w:before="0" w:after="0"/>
        <w:ind w:hanging="0" w:left="0" w:right="5214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Прогноз социально-экономического развития республики на 2025 год формируется в крайне сложных условиях. Степень неопределенности продолжает усиливаться, при этом преобладают риски негативного сценария развития ситуации. Это связано, прежде всего, с высокой вероятностью введения со стороны Республики Молдова новых санкционных и ограничительных мер в отношении приднестровских хозяйствующих субъектов. Кроме того, сохраняются риски в части обеспечения устойчивого энергоснабжения республики на фоне продолжения военных действий на территории Украины.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 учетом обозначенных факторов, принимая во внимание оценку перспектив развития, сформированную ведущими предприятиями индустриального сектора республики, в краткосрочной перспективе прогнозируется отрицательная динамика промышленного выпуска в пределах -8,0 % в номинальном выражении к оценке 2024 года. 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сельском хозяйстве ожидается рост натуральных объемов производства в части продукции животноводства, а также сельскохозяйственных культур, ориентированных преимущественно на внутренний рынок. Исходя из данных тенденций, а также при сохранении уровня цен на зерновые в пределах 2024 года совокупный показатель валовой продукции сельского хозяйства будет определяться ростом в диапазоне 3,6 %. 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2025 году инвестиционная активность сохранится на низком уровне вследствие негативного влияния внешних факторов. Прогнозируется отрицательная динамика инвестиций в основной капитал в номинальном выражении в пределах 5,4%.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 учетом возможных сценариев развития ситуации в основных отраслях реального сектора экономики в условиях санкционного давления со стороны Республики Молдова, прогнозных оценок международных институтов о ситуации на мировых сырьевых рынках в 2025 году прогнозируется снижение совокупного внешнеторгового оборота на 2,0 % к оценке 2024 года, в том числе импорта – в пределах 2,8 %. По совокупному экспорту прогнозируется незначительное сокращение объемов в пределах 0,4 %. 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потребительском рынке с учетом прогнозируемых тенденций замедления общемирового уровня инфляции, повышение среднего уровня цен в 2025 году прогнозируется в пределах целевого ориентира 4 % (плюс-минус 1 п.п.) в годовом выражении. 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Снижение инфляционного давления в совокупности с мерами по повышению заработных плат, принимаемыми государством и бизнес-сектором, продолжат оказывать стимулирующее влияние на потребительскую активность в республике, в результате розничный товарооборот может вырасти в пределах 4,8 % в номинальном выражении.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Исходя из обозначенных направлений, которые при заданных сценарных условиях могут характеризовать развитие реального сектора экономики, с учетом прогнозируемых конъюнктурных тенденций в мировой экономике в 2025 году показатель валового внутреннего продукта в номинальном выражении будет характеризоваться слабоположительной динамикой номинального прироста в пределах 0,6 %. В реальном выражении спад составит порядка 3 %.</w:t>
      </w:r>
    </w:p>
    <w:p>
      <w:pPr>
        <w:pStyle w:val="BodyText"/>
        <w:bidi w:val="0"/>
        <w:spacing w:before="0" w:after="0"/>
        <w:ind w:hanging="0" w:left="0" w:right="5214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Основываясь на данных Государственной службы статистики Министерства экономического развития Приднестровской Молдавской Республики численность населения, занятого в экономике страны, в 2024 году (с учетом оценки) составит 130 461 человек. По информации Единого государственного фонда социального страхования Приднестровской Молдавской Республики (далее – ЕГФСС) численность граждан, зарегистрированных в качестве ищущих работу и которым официально присвоен статус безработного, за 2024 год (в среднегодовом исчислении) составит 1 509 человек, что в сравнении с показателем 2023 года ниже на 402 человека. 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Согласно демографическому прогнозу (по данным ЕГФСС) численность трудоспособного населения в трудоспособном возрасте будет ежегодно уменьшаться и в 2027 году составит – 230 066 человек (в 2023 году – 235 905 человек). Таким образом, численность трудоспособного населения в трудоспособном возрасте за 4 года может сократиться на 5 839 человек. 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Численность занятых в экономике по прогнозным данным, уменьшится с 130 461 человека в 2024 году до 129 306 человек в 2027 году.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Соответственно, в 2025-2027 годах уровень занятости населения будет падать. В прогнозном периоде прослеживается тенденция снижения численности, занятых в следующих отраслях экономики: «промышленность», «транспорт», «операции с недвижимым имуществом», «связь», «общая коммерческая деятельность по обеспечению функционирования рынка», «жилищно-коммунальное хозяйство», «здравоохранение и социальное обеспечение», «образование», «финансы, кредит, страхование, пенсионное обеспечение», «управление» и другие.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этом по таким отраслям, как «сельское хозяйство», «лесное хозяйство», «строительство», «информационное вычислительное обслуживание», «физкультура, отдых и туризм» наблюдается тенденция роста численности занятых.</w:t>
      </w:r>
    </w:p>
    <w:p>
      <w:pPr>
        <w:pStyle w:val="BodyText"/>
        <w:bidi w:val="0"/>
        <w:spacing w:before="0" w:after="0"/>
        <w:ind w:hanging="0" w:left="0" w:right="5214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Сопоставление численности трудовых ресурсов с суммой численности занятых в экономике и численности населения, не занятого в экономике, показывает несбалансированность трудовых ресурсов. 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Так, в 2023 году данный показатель составил 105 334 человека, в 2024 году – 106 184 человека, а в прогнозном периоде: 2025 году – 104 808 человек, 2026 году –102 711 человек, 2027 году – 101 132 человека.  </w:t>
      </w:r>
    </w:p>
    <w:p>
      <w:pPr>
        <w:pStyle w:val="BodyText"/>
        <w:bidi w:val="0"/>
        <w:spacing w:before="0" w:after="0"/>
        <w:ind w:hanging="0" w:left="0" w:right="5214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Наличие показателя несбалансированности трудовых ресурсов в Приднестровской Молдавской Республике можно обосновать следующими факторами:</w:t>
      </w:r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при расчетах показателя «численность занятых в экономике» не учитывалась численность </w:t>
      </w:r>
      <w:r>
        <w:rPr>
          <w:rFonts w:ascii="times new roman;times" w:hAnsi="times new roman;times"/>
          <w:color w:val="333333"/>
          <w:sz w:val="24"/>
          <w:shd w:fill="FFFFFF" w:val="clear"/>
        </w:rPr>
        <w:t>государственных служащих, состоящих на воинских должностях и должностях правоохранительной службы</w:t>
      </w:r>
      <w:r>
        <w:rPr>
          <w:rFonts w:ascii="times new roman;times" w:hAnsi="times new roman;times"/>
          <w:sz w:val="24"/>
        </w:rPr>
        <w:t>;</w:t>
      </w:r>
      <w:bookmarkStart w:id="1" w:name="_GoBack"/>
      <w:bookmarkEnd w:id="1"/>
    </w:p>
    <w:p>
      <w:pPr>
        <w:pStyle w:val="BodyText"/>
        <w:bidi w:val="0"/>
        <w:spacing w:before="0" w:after="0"/>
        <w:ind w:hanging="0" w:left="0" w:right="521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существует неопределенная доля незанятого трудоспособного населения, занимающегося поиском работы самостоятельно.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4%D0%B5%D0%BA%D0%B0%D0%B1%D1%80%D1%8F%202023%20%D0%B3%D0%BE%D0%B4%D0%B0%20%E2%84%96%20266%20%C2%AB%D0%9E%D0%B1%20%D1%83%D1%82%D0%B2%D0%B5%D1%80%D0%B6%D0%B4%D0%B5%D0%BD%D0%B8%D0%B8%20%D1%84%D0%BE%D1%80%D0%BC%20%D0%B4%D0%BE%D0%BA%D1%83%D0%BC%D0%B5%D0%BD%D1%82%D0%BE%D0%B2%2C%20%D0%BF%D0%BE%D0%B4%D0%B0%D0%B2%D0%B0%D0%B5%D0%BC%D1%8B%D1%85%20%D0%B2%20%D0%BD%D0%B0%D0%BB%D0%BE%D0%B3%D0%BE%D0%B2%D1%8B%D0%B9%20%D0%BE%D1%80%D0%B3%D0%B0%D0%BD%20%D0%B2%20%D1%80%D0%B0%D0%BC%D0%BA%D0%B0%D1%85%20%D1%81%D0%BF%D0%B5%D1%86%D0%B8%D0%B0%D0%BB%D1%8C%D0%BD%D0%BE%D0%B3%D0%BE%20%D0%BD%D0%B0%D0%BB%D0%BE%D0%B3%D0%BE%D0%B2%D0%BE%D0%B3%D0%BE%20%D1%80%D0%B5%D0%B6%D0%B8%D0%BC%D0%B0%20%E2%80%93%20%D1%83%D0%BF%D1%80%D0%BE%D1%89%D0%B5%D0%BD%D0%BD%D0%B0%D1%8F%20%D1%81%D0%B8%D1%81%D1%82%D0%B5%D0%BC%D0%B0%20%D0%BD%D0%B0%D0%BB%D0%BE%D0%B3%D0%BE%D0%BE%D0%B1%D0%BB%D0%BE%D0%B6%D0%B5%D0%BD%D0%B8%D1%8F%20%D0%9F%D0%B0%D0%BB%D0%B0%D1%82%D1%8B%20%D0%B0%D0%B4%D0%B2%D0%BE%D0%BA%D0%B0%D1%82%D0%BE%D0%B2%20%D0%9F%D1%80%D0%B8%D0%B4%D0%BD%D0%B5%D1%81%D1%82%D1%80%D0%BE%D0%B2%D1%81%D0%BA%D0%BE%D0%B9%20%D0%9C%D0%BE%D0%BB%D0%B4%D0%B0%D0%B2%D1%81%D0%BA%D0%BE%D0%B9%20%D0%A0%D0%B5%D1%81%D0%BF%D1%83%D0%B1%D0%BB%D0%B8%D0%BA%D0%B8%2C%20%D0%B8%20%D0%BF%D1%80%D0%B5%D0%B4%D0%BE%D1%81%D1%82%D0%B0%D0%B2%D0%BB%D0%B5%D0%BD%D0%B8%D0%B8%20%D0%9F%D0%B0%D0%BB%D0%B0%D1%82%D0%BE%D0%B9%20%D0%B0%D0%B4%D0%B2%D0%BE%D0%BA%D0%B0%D1%82%D0%BE%D0%B2%20%D0%9F%D1%80%D0%B8%D0%B4%D0%BD%D0%B5%D1%81%D1%82%D1%80%D0%BE%D0%B2%D1%81%D0%BA%D0%BE%D0%B9%20%D0%9C%D0%BE%D0%BB%D0%B4%D0%B0%D0%B2%D1%81%D0%BA%D0%BE%D0%B9%20%D0%A0%D0%B5%D1%81%D0%BF%D1%83%D0%B1%D0%BB%D0%B8%D0%BA%D0%B8%20%20%D0%BE%D1%82%D1%87%D0%B5%D1%82%D0%B0%20%D0%B2%20%D0%BD%D0%B0%D0%BB%D0%BE%D0%B3%D0%BE%D0%B2%D1%8B%D0%B9%20%D0%BE%D1%80%D0%B3%D0%B0%D0%BD%C2%BB" TargetMode="External"/><Relationship Id="rId6" Type="http://schemas.openxmlformats.org/officeDocument/2006/relationships/hyperlink" Target="documents/search/doc-link/?q=%D0%BE%D1%82%2027%20%D0%B8%D1%8E%D0%BB%D1%8F%C2%A02023%20%D0%B3%D0%BE%D0%B4%D0%B0%20%E2%84%96%20273-%D0%97-VII%20%C2%AB%D0%A1%D0%BF%D0%B5%D1%86%D0%B8%D0%B0%D0%BB%D1%8C%D0%BD%D1%8B%D0%B9%20%D0%BD%D0%B0%D0%BB%D0%BE%D0%B3%D0%BE%D0%B2%D1%8B%D0%B9%20%D1%80%D0%B5%D0%B6%D0%B8%D0%BC%20%E2%80%93%20%D1%83%D0%BF%D1%80%D0%BE%D1%89%D0%B5%D0%BD%D0%BD%D0%B0%D1%8F%20%D1%81%D0%B8%D1%81%D1%82%D0%B5%D0%BC%D0%B0%20%D0%BD%D0%B0%D0%BB%D0%BE%D0%B3%D0%BE%D0%BE%D0%B1%D0%BB%D0%BE%D0%B6%D0%B5%D0%BD%D0%B8%D1%8F%20%D0%9F%D0%B0%D0%BB%D0%B0%D1%82%D1%8B%20%D0%B0%D0%B4%D0%B2%D0%BE%D0%BA%D0%B0%D1%82%D0%BE%D0%B2%20%D0%9F%D1%80%D0%B8%D0%B4%D0%BD%D0%B5%D1%81%D1%82%D1%80%D0%BE%D0%B2%D1%81%D0%BA%D0%BE%D0%B9%20%D0%9C%D0%BE%D0%BB%D0%B4%D0%B0%D0%B2%D1%81%D0%BA%D0%BE%D0%B9%20%D0%A0%D0%B5%D1%81%D0%BF%D1%83%D0%B1%D0%BB%D0%B8%D0%BA%D0%B8%20%D0%B8%20%D0%B0%D0%B4%D0%B2%D0%BE%D0%BA%D0%B0%D1%82%D1%81%D0%BA%D0%B8%D1%85%20%D0%BE%D0%B1%D1%80%D0%B0%D0%B7%D0%BE%D0%B2%D0%B0%D0%BD%D0%B8%D0%B9%C2%BB%20%28%D0%A1%D0%90%D0%97%2023-30%29" TargetMode="External"/><Relationship Id="rId7" Type="http://schemas.openxmlformats.org/officeDocument/2006/relationships/hyperlink" Target="documents/search/doc-link/?q=%D0%BE%D1%82%2027%20%D0%B4%D0%B5%D0%BA%D0%B0%D0%B1%D1%80%D1%8F%202023%20%D0%B3%D0%BE%D0%B4%D0%B0%20%E2%84%96%20266%20%C2%AB%D0%9E%D0%B1%20%D1%83%D1%82%D0%B2%D0%B5%D1%80%D0%B6%D0%B4%D0%B5%D0%BD%D0%B8%D0%B8%20%D1%84%D0%BE%D1%80%D0%BC%20%D0%B4%D0%BE%D0%BA%D1%83%D0%BC%D0%B5%D0%BD%D1%82%D0%BE%D0%B2%2C%20%D0%BF%D0%BE%D0%B4%D0%B0%D0%B2%D0%B0%D0%B5%D0%BC%D1%8B%D1%85%20%D0%B2%20%D0%BD%D0%B0%D0%BB%D0%BE%D0%B3%D0%BE%D0%B2%D1%8B%D0%B9%20%D0%BE%D1%80%D0%B3%D0%B0%D0%BD%20%D0%B2%20%D1%80%D0%B0%D0%BC%D0%BA%D0%B0%D1%85%20%D1%81%D0%BF%D0%B5%D1%86%D0%B8%D0%B0%D0%BB%D1%8C%D0%BD%D0%BE%D0%B3%D0%BE%20%D0%BD%D0%B0%D0%BB%D0%BE%D0%B3%D0%BE%D0%B2%D0%BE%D0%B3%D0%BE%20%D1%80%D0%B5%D0%B6%D0%B8%D0%BC%D0%B0%20%E2%80%93%20%D1%83%D0%BF%D1%80%D0%BE%D1%89%D0%B5%D0%BD%D0%BD%D0%B0%D1%8F%20%D1%81%D0%B8%D1%81%D1%82%D0%B5%D0%BC%D0%B0%20%D0%BD%D0%B0%D0%BB%D0%BE%D0%B3%D0%BE%D0%BE%D0%B1%D0%BB%D0%BE%D0%B6%D0%B5%D0%BD%D0%B8%D1%8F%20%D0%9F%D0%B0%D0%BB%D0%B0%D1%82%D1%8B%20%D0%B0%D0%B4%D0%B2%D0%BE%D0%BA%D0%B0%D1%82%D0%BE%D0%B2%20%D0%9F%D1%80%D0%B8%D0%B4%D0%BD%D0%B5%D1%81%D1%82%D1%80%D0%BE%D0%B2%D1%81%D0%BA%D0%BE%D0%B9%20%D0%9C%D0%BE%D0%BB%D0%B4%D0%B0%D0%B2%D1%81%D0%BA%D0%BE%D0%B9%20%D0%A0%D0%B5%D1%81%D0%BF%D1%83%D0%B1%D0%BB%D0%B8%D0%BA%D0%B8%2C%20%D0%B8%20%D0%BF%D1%80%D0%B5%D0%B4%D0%BE%D1%81%D1%82%D0%B0%D0%B2%D0%BB%D0%B5%D0%BD%D0%B8%D0%B8%20%D0%9F%D0%B0%D0%BB%D0%B0%D1%82%D0%BE%D0%B9%20%D0%B0%D0%B4%D0%B2%D0%BE%D0%BA%D0%B0%D1%82%D0%BE%D0%B2%20%D0%9F%D1%80%D0%B8%D0%B4%D0%BD%D0%B5%D1%81%D1%82%D1%80%D0%BE%D0%B2%D1%81%D0%BA%D0%BE%D0%B9%20%D0%9C%D0%BE%D0%BB%D0%B4%D0%B0%D0%B2%D1%81%D0%BA%D0%BE%D0%B9%20%D0%A0%D0%B5%D1%81%D0%BF%D1%83%D0%B1%D0%BB%D0%B8%D0%BA%D0%B8%20%D0%BE%D1%82%D1%87%D0%B5%D1%82%D0%B0%20%D0%B2%20%D0%BD%D0%B0%D0%BB%D0%BE%D0%B3%D0%BE%D0%B2%D1%8B%D0%B9%20%D0%BE%D1%80%D0%B3%D0%B0%D0%BD%C2%BB" TargetMode="External"/><Relationship Id="rId8" Type="http://schemas.openxmlformats.org/officeDocument/2006/relationships/hyperlink" Target="documents/search/doc-link/?q=%D0%BE%D1%82%2026%20%D0%B0%D0%BF%D1%80%D0%B5%D0%BB%D1%8F%202024%20%D0%B3%D0%BE%D0%B4%D0%B0%20%E2%84%96%2081" TargetMode="External"/><Relationship Id="rId9" Type="http://schemas.openxmlformats.org/officeDocument/2006/relationships/hyperlink" Target="documents/search/doc-link/?q=%D0%BE%D1%82%208%20%D1%8F%D0%BD%D0%B2%D0%B0%D1%80%D1%8F%202001%20%D0%B3%D0%BE%D0%B4%D0%B0%20%E2%84%96%20327-%D0%97%20%C2%AB%D0%9E%20%D0%B7%D0%B0%D0%BD%D1%8F%D1%82%D0%BE%D1%81%D1%82%D0%B8%20%D0%BD%D0%B0%D1%81%D0%B5%D0%BB%D0%B5%D0%BD%D0%B8%D1%8F%C2%BB%20%28%D0%A1%D0%97%D0%9C%D0%A0%2001-1%29" TargetMode="External"/><Relationship Id="rId10" Type="http://schemas.openxmlformats.org/officeDocument/2006/relationships/hyperlink" Target="documents/search/doc-link/?q=%D0%BE%D1%82%2011%20%D1%81%D0%B5%D0%BD%D1%82%D1%8F%D0%B1%D1%80%D1%8F%202018%20%D0%B3%D0%BE%D0%B4%D0%B0%20%E2%84%96%20316%20%C2%AB%D0%9E%D0%B1%20%D1%83%D1%82%D0%B2%D0%B5%D1%80%D0%B6%D0%B4%D0%B5%D0%BD%D0%B8%D0%B8%20%D0%9F%D0%BE%D0%BB%D0%BE%D0%B6%D0%B5%D0%BD%D0%B8%D1%8F%20%D0%BE%20%D1%80%D0%B0%D0%B7%D1%80%D0%B0%D0%B1%D0%BE%D1%82%D0%BA%D0%B5%20%D0%BF%D1%80%D0%BE%D0%B3%D0%BD%D0%BE%D0%B7%D0%B0%20%D0%B1%D0%B0%D0%BB%D0%B0%D0%BD%D1%81%D0%B0%20%D1%82%D1%80%D1%83%D0%B4%D0%BE%D0%B2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20%D0%B8%20%D0%9C%D0%B5%D1%82%D0%BE%D0%B4%D0%B8%D0%BA%D0%B8%20%D1%80%D0%B0%D0%B7%D1%80%D0%B0%D0%B1%D0%BE%D1%82%D0%BA%D0%B8%20%D0%BF%D1%80%D0%BE%D0%B3%D0%BD%D0%BE%D0%B7%D0%B0%20%D0%B1%D0%B0%D0%BB%D0%B0%D0%BD%D1%81%D0%B0%20%D1%82%D1%80%D1%83%D0%B4%D0%BE%D0%B2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8-37%29" TargetMode="External"/><Relationship Id="rId11" Type="http://schemas.openxmlformats.org/officeDocument/2006/relationships/hyperlink" Target="documents/search/doc-link/?q=%D0%BE%D1%82%209%20%D0%B0%D0%BF%D1%80%D0%B5%D0%BB%D1%8F%202019%20%D0%B3%D0%BE%D0%B4%D0%B0%20%E2%84%96%20112%20%28%D0%A1%D0%90%D0%97%2019-14%29" TargetMode="External"/><Relationship Id="rId12" Type="http://schemas.openxmlformats.org/officeDocument/2006/relationships/hyperlink" Target="documents/search/doc-link/?q=%D0%BE%D1%82%201%20%D1%84%D0%B5%D0%B2%D1%80%D0%B0%D0%BB%D1%8F%202022%20%D0%B3%D0%BE%D0%B4%D0%B0%20%E2%84%96%2030%20%28%D0%A1%D0%90%D0%97%2022-4%29" TargetMode="External"/><Relationship Id="rId13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14" Type="http://schemas.openxmlformats.org/officeDocument/2006/relationships/hyperlink" Target="documents/search/doc-link/?q=%D0%BE%D1%82%2012%20%D0%B4%D0%B5%D0%BA%D0%B0%D0%B1%D1%80%D1%8F%202024%20%D0%B3%D0%BE%D0%B4%D0%B0%20%E2%84%96%2011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1973</Words>
  <Characters>12325</Characters>
  <CharactersWithSpaces>14257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