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Правил стимулирования доступных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внутренних туристских поездок через возмещение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части стоимости оплаченной туристской услуги»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133-З-VI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«Поддержка и развитие туризма в Приднестровской Молдавской Республике» на 2019-2026 годы»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(САЗ 19-26), в целях стимулирования и развития внутреннего туризма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54 «Об утверждении Правил стимулирования доступных внутренних  туристских поездок через возмещение части стоимости оплаченной туристской услуги» (САЗ 23-7)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124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2023 года 
№ 193 (САЗ 23-24)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подпункт в) пункта 4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туристский продукт – экскурсия или тур, предназначенные для реализации туристу (экскурсанту) на условиях и в порядке, определенных настоящими Правилами»;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4 Приложения к Постановлению дополнить подпунктами в-1) – в-3)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«в-1) экскурсия – посещение туристом (экскурсантом) достопримечательных мест, музеев, туристских и иных объектов </w:t>
      </w:r>
      <w:r>
        <w:rPr/>
        <w:br/>
      </w:r>
      <w:r>
        <w:rPr>
          <w:rFonts w:ascii="times new roman;times" w:hAnsi="times new roman;times"/>
          <w:sz w:val="24"/>
        </w:rPr>
        <w:t>в познавательных, образовательных и культурных целях с предоставлением экскурсионных услуг в пределах до 24 (двадцати четырех)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 экскурсиям в рамках настоящих Правил относятся также однодневные походы и водные сплавы, если они включают в себя экскурсионные услуги </w:t>
      </w:r>
      <w:r>
        <w:rPr/>
        <w:br/>
      </w:r>
      <w:r>
        <w:rPr>
          <w:rFonts w:ascii="times new roman;times" w:hAnsi="times new roman;times"/>
          <w:sz w:val="24"/>
        </w:rPr>
        <w:t>и предоставление необходимого оборудования исполнителем.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Экскурсия (поход, водный сплав) может также включать в себя услуги по перевозке, питанию или дегустации, услуги гидов-переводчиков и другие услуги, предоставляемые в зависимости от цели и вида экскурсии;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в-2) тур – комплекс туристских услуг, предназначенный для реализации туристу (экскурсанту) в период туристского путешествия, продолжительностью не менее 2 (двух) дней, включающий в себя услуги по размещению, перевозке, питанию, экскурсионные услуги, а также услуги гидов-переводчиков и другие услуги, предоставляемые в зависимости от целей путешествия.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 организацией питания в период тура в рамках настоящих Правил понимается организация исполнителем для туриста (экскурсанта) приема пищи в организациях общественного питания или в средствах размещения. Не является организацией питания самостоятельное приготовление туристом (экскурсантом) пищи или питания исключительно за счет собственных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Размещение в период тура может осуществляться в средствах размещения, к которым относятся: гостиницы, хостелы, кемпинги, индивидуальные жилые дома, в том числе сельские гостевые дома (сельские усадьбы) или иные жилые помещения (квартиры, комнаты из состава квартир, передаваемые на правах пользования) для временного проживания.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средствам размещения не относятся места временного пребывания, используемые для осуществления основной деятельности организаций отдыха и оздоровления детей, медицинских организаций, организаций социального обслуживания, физкультурно-спортивных организаций, централизованных религиозных организаций и (или) религиозных организаций, входящих в их структуру;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в-3) туристский поход – тур, в том числе организованный для группы несовершеннолетних в возрасте от 7 (семи) до 16 (шестнадцати) лет, включающий в себя услуги по размещению в палатках, кемпингах, на туристических базах, перевозке, питанию, без привлечения организаций общественного питания или в средствах размещения и самостоятельному приготовлению пищи туристами (экскурсантами), в том числе за свой счет, экскурсионные услуги и иные услуги, предоставляемые в зависимости от вида туристского похода (пешеходные, водные сплавы, велосипедные, авто-, мото-</w:t>
      </w:r>
      <w:r>
        <w:rPr/>
        <w:br/>
      </w:r>
      <w:r>
        <w:rPr>
          <w:rFonts w:ascii="times new roman;times" w:hAnsi="times new roman;times"/>
          <w:sz w:val="24"/>
        </w:rPr>
        <w:t xml:space="preserve">(в том числе с использованием квадроциклов) или комбинированные), </w:t>
      </w:r>
      <w:r>
        <w:rPr/>
        <w:br/>
      </w:r>
      <w:r>
        <w:rPr>
          <w:rFonts w:ascii="times new roman;times" w:hAnsi="times new roman;times"/>
          <w:sz w:val="24"/>
        </w:rPr>
        <w:t xml:space="preserve">и предоставление со стороны исполнителя необходимого оборудования </w:t>
      </w:r>
      <w:r>
        <w:rPr/>
        <w:br/>
      </w:r>
      <w:r>
        <w:rPr>
          <w:rFonts w:ascii="times new roman;times" w:hAnsi="times new roman;times"/>
          <w:sz w:val="24"/>
        </w:rPr>
        <w:t>и снаряжения»;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подпункт г) пункта 4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«г) исполнитель – юридическое лицо независимо от организационно-правовой формы или физическое лицо, осуществляющее индивидуальную предпринимательскую деятельность, использующее онлайн-площадку оператора, подписавшее соглашение (договор) с оператором и действующее </w:t>
      </w:r>
      <w:r>
        <w:rPr/>
        <w:br/>
      </w:r>
      <w:r>
        <w:rPr>
          <w:rFonts w:ascii="times new roman;times" w:hAnsi="times new roman;times"/>
          <w:sz w:val="24"/>
        </w:rPr>
        <w:t>в порядке, установленном настоящими Правилами»;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подпункте ж) пункта 4 Приложения к Постановлению слова «в виде услуг по бронированию средств размещения или туристского продукта» заменить словами «представляющая собой туристский продукт, определенный подпунктами в) – в-3) пункта 4 настоящих Правил»;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1) подпункта ж) пункта 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«1) период размещения при реализации туристского продукта в виде тура не менее 1 (одной) ночи»;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подпункте и) пункта 4 Приложения к Постановлению слова «банк (база) данных» заменить словами «перечень сведений»;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пункте 5 Приложения к Постановлению слова «по которой туристом (экскурсантом) получена выплата (кешбэк)» заменить словами «оплаченной туристом (экскурсантом) посредством онлайн-площадки»;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5 Приложения к Постановлению дополнить частью второй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«При достижении между туристом (экскурсантом) и исполнителем соглашения о переносе срока предоставления туристской услуги исполнитель </w:t>
      </w:r>
      <w:r>
        <w:rPr/>
        <w:br/>
      </w:r>
      <w:r>
        <w:rPr>
          <w:rFonts w:ascii="times new roman;times" w:hAnsi="times new roman;times"/>
          <w:sz w:val="24"/>
        </w:rPr>
        <w:t xml:space="preserve">в обязательном порядке уведомляет об этом модератора не позднее 2 (двух) рабочих дней с даты достижения соглашения, а также вносит изменения </w:t>
      </w:r>
      <w:r>
        <w:rPr/>
        <w:br/>
      </w:r>
      <w:r>
        <w:rPr>
          <w:rFonts w:ascii="times new roman;times" w:hAnsi="times new roman;times"/>
          <w:sz w:val="24"/>
        </w:rPr>
        <w:t>в описание туристской услуги на онлайн-площадке»;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8 Приложения к Постановлению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«8. Выплата (кешбэк) осуществляется в следующих размерах: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20 (двадцати) процентов от стоимости экскурсии или туристского похода, определенного подпунктом в-3) пункта 4 настоящих Правил, за исключением туристского похода, организованного для группы несовершеннолетних в возрасте от 7 (семи) до 16 (шестнадцати) лет;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30 (тридцати) процентов от стоимости туристского похода (тура), организованного для группы несовершеннолетних в возрасте от 7 (семи) </w:t>
      </w:r>
      <w:r>
        <w:rPr/>
        <w:br/>
      </w:r>
      <w:r>
        <w:rPr>
          <w:rFonts w:ascii="times new roman;times" w:hAnsi="times new roman;times"/>
          <w:sz w:val="24"/>
        </w:rPr>
        <w:t>до 16 (шестнадцати) лет, определенного подпунктом в-3) пункта 4 настоящих Правил;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50 (пятидесяти) процентов от стоимости туристского продукта в виде тура.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Выплата (кешбэк) осуществляется в размере не более 1 500 (одной тысячи пятисот) рублей Приднестровской Молдавской Республики за оплату </w:t>
      </w:r>
      <w:r>
        <w:rPr/>
        <w:br/>
      </w:r>
      <w:r>
        <w:rPr>
          <w:rFonts w:ascii="times new roman;times" w:hAnsi="times new roman;times"/>
          <w:sz w:val="24"/>
        </w:rPr>
        <w:t>1 (одной) туристской услуги»;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к) в части второй пункта 9 Приложения к Постановлению слова </w:t>
      </w:r>
      <w:r>
        <w:rPr/>
        <w:br/>
      </w:r>
      <w:r>
        <w:rPr>
          <w:rFonts w:ascii="times new roman;times" w:hAnsi="times new roman;times"/>
          <w:sz w:val="24"/>
        </w:rPr>
        <w:t>«и бронирования средств размещения»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10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«10. Исполнители заключают с оператором соглашение об участии </w:t>
      </w:r>
      <w:r>
        <w:rPr/>
        <w:br/>
      </w:r>
      <w:r>
        <w:rPr>
          <w:rFonts w:ascii="times new roman;times" w:hAnsi="times new roman;times"/>
          <w:sz w:val="24"/>
        </w:rPr>
        <w:t>в программе выплат (кешбэка) и порядке размещения услуг на онлайн-площадке.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размещении исполнителями предоставляемых услуг на онлайн-площадке описание услуги должно включать наиболее полную информацию </w:t>
      </w:r>
      <w:r>
        <w:rPr/>
        <w:br/>
      </w:r>
      <w:r>
        <w:rPr>
          <w:rFonts w:ascii="times new roman;times" w:hAnsi="times new roman;times"/>
          <w:sz w:val="24"/>
        </w:rPr>
        <w:t>о туристском продукте, программе пребывания, маршруте и условиях путешествия, включая информацию о средствах размещения, условиях проживания (месте нахождения средства размещения, его категории), организации питания, услугах по перевозке, о наличии экскурсовода (гида), гида-переводчика, а также дополнительных услугах»;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пункт 11 Приложения к Постановлению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«11. Информация об операторе, порядке поиска и оплаты туристских услуг на онлайн-площадке туристами (экскурсантами), размерах и сроках получения выплат (кешбэка) размещается на официальном сайте Министерства экономического развития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и государственного учреждения «Агентство по туризму Приднестровской Молдавской Республики» в глобальной сети Интернет.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Правила использования исполнителями онлайн-площадки, объем информации, включаемой при описании туристских услуг, размещаются оператором в доступном для ознакомления месте в разделе онлайн-площадки, созданном для реализации туристических услуг»;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пункт 13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«13. В случае если на конец периода, определенного подпунктом 4) подпункта ж) пункта 4 настоящих Правил, текущий остаток средств финансирования у оператора  составляет более 20 (двадцати) процентов объема лимитов бюджетного финансирования на соответствующий финансовый год, выделенных на цели, предусмотренные пунктом 1 настоящих Правил, период оплаты туристских услуг может быть продлен до 30 декабря соответствующего финансового года, в рамках имеющихся средств, при условии, что срок предоставления туристской услуги оканчивается не позднее 10 января года, следующего за годом оплаты услуги, и текущий остаток средств, определенных договором о предоставлении финансирования, не достигнет предельного значения»;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подпункт 1) подпункта б) пункта 16 Приложения к Постановлению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«1) о предоставлении возможности использования исполнителями онлайн-площадки для размещения туристских услуг не позднее 3 (трех) рабочих дней со дня подписания с исполнителями соглашения»;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п) подпункт в) пункта 16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«в) порядок выплаты вознаграждения оператору за техническое сопровождение онлайн-площадки и программного комплекса модератора </w:t>
      </w:r>
      <w:r>
        <w:rPr/>
        <w:br/>
      </w:r>
      <w:r>
        <w:rPr>
          <w:rFonts w:ascii="times new roman;times" w:hAnsi="times new roman;times"/>
          <w:sz w:val="24"/>
        </w:rPr>
        <w:t>и комиссионного вознаграждения оператору за совершение операций по выплатам (кешбэку)»;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пункт 17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«17. Финансирование предоставляется в размере лимитов бюджетного финансирования на соответствующий финансовый год и включает в себя: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суммы, подлежащие перечислению оператором по поручению модератора, туристам (экскурсантам) в качестве возврата части стоимости оплаченных туристских услуг, соответствующих требованиям настоящих Правил;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сумму вознаграждения оператору за техническое сопровождение онлайн-площадки и программного комплекса модератора в размере </w:t>
      </w:r>
      <w:r>
        <w:rPr/>
        <w:br/>
      </w:r>
      <w:r>
        <w:rPr>
          <w:rFonts w:ascii="times new roman;times" w:hAnsi="times new roman;times"/>
          <w:sz w:val="24"/>
        </w:rPr>
        <w:t xml:space="preserve">30 000 (тридцати тысяч) рублей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в год;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сумму комиссионного вознаграждения оператору за совершение операций по выплатам (кешбэку) в размере не более 3,5 (трех целых пяти десятых) процента от сумм по операциям, произведенным в качестве возврата туристам (экскурсантам) части стоимости оплаты туристских услуг»;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в подпункте а) пункта 22 Приложения к Постановлению слова «возможности регистрации исполнителей» заменить словами «ознакомления исполнителей с правилами использования онлайн-площадки»;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т) подпункт в) пункта 22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возможность описания исполнителями услуги с включением следующих сведений: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наименование и организационно-правовая форма юридического лица </w:t>
      </w:r>
      <w:r>
        <w:rPr/>
        <w:br/>
      </w:r>
      <w:r>
        <w:rPr>
          <w:rFonts w:ascii="times new roman;times" w:hAnsi="times new roman;times"/>
          <w:sz w:val="24"/>
        </w:rPr>
        <w:t>и (или) фамилия, имя, отчество (при наличии) физического лица, осуществляющего индивидуальную предпринимательскую деятельность, место нахождения юридического лица, а также сведения о государственной регистрации в качестве юридического лица или физического лица, осуществляющего индивидуальную предпринимательскую деятельность;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сведения (публичные условия, договор присоединения) </w:t>
      </w:r>
      <w:r>
        <w:rPr/>
        <w:br/>
      </w:r>
      <w:r>
        <w:rPr>
          <w:rFonts w:ascii="times new roman;times" w:hAnsi="times new roman;times"/>
          <w:sz w:val="24"/>
        </w:rPr>
        <w:t>о предоставляемой туристской услуге (наименование, направление, комплекс предоставляемых услуг, стоимость) и (или) возможность перенаправления на сайт исполнителя»;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в части первой подпункта г) пункта 22 Приложения к Постановлению слова «должна быть предоставлена возможность включения» заменить словами «может предоставляться возможность внесения»;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пункт 23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«23. Для заключения договора о предоставлении финансирования оператор в срок не позднее 10 (десяти) рабочих дней с даты получения от Министерства экономического развития Приднестровской Молдавской Республики предложения о реализации на конкретный финансовый год настоящих Правил в качестве оператора представляет в Министерство экономического развития Приднестровской Молдавской Республики подписанное руководителем или иным уполномоченным лицом оператора заявление с приложением следующих документов: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справка из Государственной налоговой службы Министерства финансов Приднестровской Молдавской Республики об отсутствии задолженностей по уплате налогов, сборов и иных обязательных платежей </w:t>
      </w:r>
      <w:r>
        <w:rPr/>
        <w:br/>
      </w:r>
      <w:r>
        <w:rPr>
          <w:rFonts w:ascii="times new roman;times" w:hAnsi="times new roman;times"/>
          <w:sz w:val="24"/>
        </w:rPr>
        <w:t>в бюджеты различных уровней по состоянию на начало текущего финансового года;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справку из центрального банка Приднестровской Молдавской Республики о том, что оператор не находится в процессе реорганизации (за исключением реорганизации в форме присоединения к нему), не осуществляется его ликвидация, в отношении него не введена процедура банкротства, а также о том, что его деятельность не приостановлена;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проект договора о предоставлении финансирования.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Заявление, указанное в части первой настоящего пункта, в обязательном порядке должно содержать информацию о готовности онлайн-площадки </w:t>
      </w:r>
      <w:r>
        <w:rPr/>
        <w:br/>
      </w:r>
      <w:r>
        <w:rPr>
          <w:rFonts w:ascii="times new roman;times" w:hAnsi="times new roman;times"/>
          <w:sz w:val="24"/>
        </w:rPr>
        <w:t>к использованию исполнителями и регистрации туристов (экскурсантов), заказу туристских услуг и соответствии онлайн-площадки критериям, установленным пунктом 22 настоящих Правил»;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в пункте 30 Приложения к Постановлению слово «текущий»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4%D0%B5%D0%B2%D1%80%D0%B0%D0%BB%D1%8F%202023%20%D0%B3%D0%BE%D0%B4%D0%B0%20%E2%84%96%205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1%20%D0%B8%D1%8E%D0%BB%D1%8F%202019%20%D0%B3%D0%BE%D0%B4%D0%B0%20%E2%84%96%20133-%D0%97-VI" TargetMode="External"/><Relationship Id="rId8" Type="http://schemas.openxmlformats.org/officeDocument/2006/relationships/hyperlink" Target="documents/search/doc-link/?q=%D0%BE%D1%82%2016%20%D1%84%D0%B5%D0%B2%D1%80%D0%B0%D0%BB%D1%8F%202023%20%D0%B3%D0%BE%D0%B4%D0%B0%20%E2%84%96%2054%20%C2%AB%D0%9E%D0%B1%20%D1%83%D1%82%D0%B2%D0%B5%D1%80%D0%B6%D0%B4%D0%B5%D0%BD%D0%B8%D0%B8%20%D0%9F%D1%80%D0%B0%D0%B2%D0%B8%D0%BB%20%D1%81%D1%82%D0%B8%D0%BC%D1%83%D0%BB%D0%B8%D1%80%D0%BE%D0%B2%D0%B0%D0%BD%D0%B8%D1%8F%20%D0%B4%D0%BE%D1%81%D1%82%D1%83%D0%BF%D0%BD%D1%8B%D1%85%20%D0%B2%D0%BD%D1%83%D1%82%D1%80%D0%B5%D0%BD%D0%BD%D0%B8%D1%85%20%C2%A0%D1%82%D1%83%D1%80%D0%B8%D1%81%D1%82%D1%81%D0%BA%D0%B8%D1%85%20%D0%BF%D0%BE%D0%B5%D0%B7%D0%B4%D0%BE%D0%BA%20%D1%87%D0%B5%D1%80%D0%B5%D0%B7%20%D0%B2%D0%BE%D0%B7%D0%BC%D0%B5%D1%89%D0%B5%D0%BD%D0%B8%D0%B5%20%D1%87%D0%B0%D1%81%D1%82%D0%B8%20%D1%81%D1%82%D0%BE%D0%B8%D0%BC%D0%BE%D1%81%D1%82%D0%B8%20%D0%BE%D0%BF%D0%BB%D0%B0%D1%87%D0%B5%D0%BD%D0%BD%D0%BE%D0%B9%20%D1%82%D1%83%D1%80%D0%B8%D1%81%D1%82%D1%81%D0%BA%D0%BE%D0%B9%20%D1%83%D1%81%D0%BB%D1%83%D0%B3%D0%B8%C2%BB%20%28%D0%A1%D0%90%D0%97%2023-7%29" TargetMode="External"/><Relationship Id="rId9" Type="http://schemas.openxmlformats.org/officeDocument/2006/relationships/hyperlink" Target="documents/search/doc-link/?q=%D0%BE%D1%82%2013%20%D0%B0%D0%BF%D1%80%D0%B5%D0%BB%D1%8F%202023%20%D0%B3%D0%BE%D0%B4%D0%B0%20%E2%84%96%20124%20%28%D0%A1%D0%90%D0%97%2023-15%29" TargetMode="External"/><Relationship Id="rId10" Type="http://schemas.openxmlformats.org/officeDocument/2006/relationships/hyperlink" Target="documents/search/doc-link/?q=%D0%BE%D1%82%208%20%D0%B8%D1%8E%D0%BD%D1%8F%202023%20%D0%B3%D0%BE%D0%B4%D0%B0%20%0A%E2%84%96%20193%20%28%D0%A1%D0%90%D0%97%2023-2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1658</Words>
  <Characters>11777</Characters>
  <CharactersWithSpaces>13470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